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2025年度结核病预防与控制</w:t>
      </w:r>
    </w:p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项目绩效自评表</w:t>
      </w:r>
    </w:p>
    <w:p>
      <w:pPr>
        <w:rPr>
          <w:rFonts w:cs="Times New Roman"/>
        </w:rPr>
      </w:pPr>
    </w:p>
    <w:p>
      <w:pPr>
        <w:widowControl/>
        <w:jc w:val="left"/>
        <w:rPr>
          <w:rFonts w:hint="default" w:ascii="楷体_GB2312" w:hAnsi="黑体" w:eastAsia="楷体_GB2312" w:cs="Times New Roman"/>
          <w:kern w:val="0"/>
          <w:sz w:val="48"/>
          <w:szCs w:val="48"/>
          <w:lang w:val="en-US" w:eastAsia="zh-CN"/>
        </w:rPr>
      </w:pPr>
      <w:r>
        <w:rPr>
          <w:rFonts w:hint="eastAsia" w:ascii="楷体_GB2312" w:hAnsi="仿宋" w:eastAsia="楷体_GB2312" w:cs="楷体_GB2312"/>
          <w:kern w:val="0"/>
          <w:sz w:val="28"/>
          <w:szCs w:val="28"/>
        </w:rPr>
        <w:t>单位名称：</w:t>
      </w:r>
      <w:r>
        <w:rPr>
          <w:rFonts w:hint="eastAsia" w:ascii="楷体_GB2312" w:hAnsi="仿宋" w:eastAsia="楷体_GB2312" w:cs="楷体_GB2312"/>
          <w:kern w:val="0"/>
          <w:sz w:val="28"/>
          <w:szCs w:val="28"/>
          <w:lang w:val="en-US" w:eastAsia="zh-CN"/>
        </w:rPr>
        <w:t>襄阳市结核病防治院</w:t>
      </w:r>
      <w:r>
        <w:rPr>
          <w:rFonts w:ascii="楷体_GB2312" w:hAnsi="仿宋" w:eastAsia="楷体_GB2312" w:cs="楷体_GB2312"/>
          <w:kern w:val="0"/>
          <w:sz w:val="28"/>
          <w:szCs w:val="28"/>
        </w:rPr>
        <w:t xml:space="preserve">      </w:t>
      </w:r>
      <w:r>
        <w:rPr>
          <w:rFonts w:hint="eastAsia" w:ascii="楷体_GB2312" w:hAnsi="仿宋" w:eastAsia="楷体_GB2312" w:cs="楷体_GB2312"/>
          <w:kern w:val="0"/>
          <w:sz w:val="28"/>
          <w:szCs w:val="28"/>
        </w:rPr>
        <w:t>填报日期：</w:t>
      </w:r>
      <w:r>
        <w:rPr>
          <w:rFonts w:hint="eastAsia" w:ascii="楷体_GB2312" w:hAnsi="仿宋" w:eastAsia="楷体_GB2312" w:cs="楷体_GB2312"/>
          <w:kern w:val="0"/>
          <w:sz w:val="28"/>
          <w:szCs w:val="28"/>
          <w:lang w:val="en-US" w:eastAsia="zh-CN"/>
        </w:rPr>
        <w:t>2026年3月11日</w:t>
      </w:r>
    </w:p>
    <w:tbl>
      <w:tblPr>
        <w:tblStyle w:val="24"/>
        <w:tblW w:w="894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700"/>
        <w:gridCol w:w="1122"/>
        <w:gridCol w:w="1319"/>
        <w:gridCol w:w="669"/>
        <w:gridCol w:w="648"/>
        <w:gridCol w:w="918"/>
        <w:gridCol w:w="548"/>
        <w:gridCol w:w="1319"/>
        <w:gridCol w:w="8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项目名称</w:t>
            </w:r>
          </w:p>
        </w:tc>
        <w:tc>
          <w:tcPr>
            <w:tcW w:w="7420" w:type="dxa"/>
            <w:gridSpan w:val="8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结核病预防与控制</w:t>
            </w:r>
            <w:r>
              <w:rPr>
                <w:rFonts w:hint="eastAsia" w:ascii="仿宋_GB2312" w:hAnsi="宋体" w:eastAsia="仿宋_GB2312" w:cs="仿宋_GB2312"/>
                <w:kern w:val="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主管部门</w:t>
            </w:r>
          </w:p>
        </w:tc>
        <w:tc>
          <w:tcPr>
            <w:tcW w:w="3110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襄阳市卫生健康委员会</w:t>
            </w:r>
          </w:p>
        </w:tc>
        <w:tc>
          <w:tcPr>
            <w:tcW w:w="15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项目实施单位</w:t>
            </w:r>
          </w:p>
        </w:tc>
        <w:tc>
          <w:tcPr>
            <w:tcW w:w="2744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襄阳市结核病防治院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项目类别</w:t>
            </w:r>
          </w:p>
        </w:tc>
        <w:tc>
          <w:tcPr>
            <w:tcW w:w="7420" w:type="dxa"/>
            <w:gridSpan w:val="8"/>
            <w:vAlign w:val="center"/>
          </w:tcPr>
          <w:p>
            <w:pPr>
              <w:widowControl/>
              <w:numPr>
                <w:ilvl w:val="0"/>
                <w:numId w:val="0"/>
              </w:numPr>
              <w:snapToGrid w:val="0"/>
              <w:ind w:left="0" w:leftChars="0" w:firstLine="0" w:firstLineChars="0"/>
              <w:jc w:val="left"/>
              <w:rPr>
                <w:rFonts w:ascii="仿宋_GB2312" w:hAnsi="宋体" w:eastAsia="仿宋_GB2312" w:cs="Times New Roman"/>
                <w:color w:val="auto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</w:rPr>
              <w:t>部门预算项目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☑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 xml:space="preserve">  2.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政府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</w:rPr>
              <w:t>专项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 xml:space="preserve">  3.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政府投资项目□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 xml:space="preserve">  4.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市对下转移支付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项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□　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5.具有特定用途和具体使用目标的共同事权类一般性转移支付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项目属性</w:t>
            </w:r>
          </w:p>
        </w:tc>
        <w:tc>
          <w:tcPr>
            <w:tcW w:w="7420" w:type="dxa"/>
            <w:gridSpan w:val="8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>1</w:t>
            </w:r>
            <w:r>
              <w:rPr>
                <w:rFonts w:hint="eastAsia" w:ascii="仿宋_GB2312" w:hAnsi="宋体" w:eastAsia="仿宋_GB2312" w:cs="仿宋_GB2312"/>
                <w:kern w:val="0"/>
              </w:rPr>
              <w:t>、持续性项目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    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☑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  2</w:t>
            </w:r>
            <w:r>
              <w:rPr>
                <w:rFonts w:hint="eastAsia" w:ascii="仿宋_GB2312" w:hAnsi="宋体" w:eastAsia="仿宋_GB2312" w:cs="仿宋_GB2312"/>
                <w:kern w:val="0"/>
              </w:rPr>
              <w:t>、新增性项目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□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项目类型</w:t>
            </w:r>
          </w:p>
        </w:tc>
        <w:tc>
          <w:tcPr>
            <w:tcW w:w="7420" w:type="dxa"/>
            <w:gridSpan w:val="8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>1</w:t>
            </w:r>
            <w:r>
              <w:rPr>
                <w:rFonts w:hint="eastAsia" w:ascii="仿宋_GB2312" w:hAnsi="宋体" w:eastAsia="仿宋_GB2312" w:cs="仿宋_GB2312"/>
                <w:kern w:val="0"/>
              </w:rPr>
              <w:t>、常年性项目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    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☑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  2</w:t>
            </w:r>
            <w:r>
              <w:rPr>
                <w:rFonts w:hint="eastAsia" w:ascii="仿宋_GB2312" w:hAnsi="宋体" w:eastAsia="仿宋_GB2312" w:cs="仿宋_GB2312"/>
                <w:kern w:val="0"/>
              </w:rPr>
              <w:t>、延续性项目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□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     3</w:t>
            </w:r>
            <w:r>
              <w:rPr>
                <w:rFonts w:hint="eastAsia" w:ascii="仿宋_GB2312" w:hAnsi="宋体" w:eastAsia="仿宋_GB2312" w:cs="仿宋_GB2312"/>
                <w:kern w:val="0"/>
              </w:rPr>
              <w:t>、一次性项目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Merge w:val="restart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预算执行情况（万元）</w:t>
            </w:r>
          </w:p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（</w:t>
            </w:r>
            <w:r>
              <w:rPr>
                <w:rFonts w:ascii="仿宋_GB2312" w:hAnsi="宋体" w:eastAsia="仿宋_GB2312" w:cs="仿宋_GB2312"/>
                <w:kern w:val="0"/>
              </w:rPr>
              <w:t>20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分）</w:t>
            </w:r>
          </w:p>
        </w:tc>
        <w:tc>
          <w:tcPr>
            <w:tcW w:w="1122" w:type="dxa"/>
            <w:vMerge w:val="restart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年度财政资金总额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预算数（</w:t>
            </w:r>
            <w:r>
              <w:rPr>
                <w:rFonts w:ascii="仿宋_GB2312" w:hAnsi="宋体" w:eastAsia="仿宋_GB2312" w:cs="仿宋_GB2312"/>
                <w:kern w:val="0"/>
              </w:rPr>
              <w:t>A）</w:t>
            </w:r>
          </w:p>
        </w:tc>
        <w:tc>
          <w:tcPr>
            <w:tcW w:w="1317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执行数</w:t>
            </w:r>
            <w:r>
              <w:rPr>
                <w:rFonts w:ascii="仿宋_GB2312" w:hAnsi="宋体" w:eastAsia="仿宋_GB2312" w:cs="仿宋_GB2312"/>
                <w:kern w:val="0"/>
              </w:rPr>
              <w:t>（B）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执行率</w:t>
            </w:r>
            <w:r>
              <w:rPr>
                <w:rFonts w:ascii="仿宋_GB2312" w:hAnsi="宋体" w:eastAsia="仿宋_GB2312" w:cs="仿宋_GB2312"/>
                <w:kern w:val="0"/>
              </w:rPr>
              <w:t>（B/A）</w:t>
            </w:r>
          </w:p>
        </w:tc>
        <w:tc>
          <w:tcPr>
            <w:tcW w:w="219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得分</w:t>
            </w:r>
          </w:p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（</w:t>
            </w:r>
            <w:r>
              <w:rPr>
                <w:rFonts w:ascii="仿宋_GB2312" w:hAnsi="宋体" w:eastAsia="仿宋_GB2312" w:cs="仿宋_GB2312"/>
                <w:kern w:val="0"/>
              </w:rPr>
              <w:t>20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分</w:t>
            </w:r>
            <w:r>
              <w:rPr>
                <w:rFonts w:ascii="仿宋_GB2312" w:hAnsi="宋体" w:eastAsia="仿宋_GB2312" w:cs="仿宋_GB2312"/>
                <w:kern w:val="0"/>
              </w:rPr>
              <w:t>*</w:t>
            </w:r>
            <w:r>
              <w:rPr>
                <w:rFonts w:hint="eastAsia" w:ascii="仿宋_GB2312" w:hAnsi="宋体" w:eastAsia="仿宋_GB2312" w:cs="仿宋_GB2312"/>
                <w:kern w:val="0"/>
              </w:rPr>
              <w:t>执行率）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1122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26.91</w:t>
            </w:r>
          </w:p>
        </w:tc>
        <w:tc>
          <w:tcPr>
            <w:tcW w:w="1317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26.91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100%</w:t>
            </w:r>
          </w:p>
        </w:tc>
        <w:tc>
          <w:tcPr>
            <w:tcW w:w="219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Merge w:val="restart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bookmarkStart w:id="0" w:name="_GoBack" w:colFirst="1" w:colLast="6"/>
            <w:r>
              <w:rPr>
                <w:rFonts w:hint="eastAsia" w:ascii="仿宋_GB2312" w:hAnsi="宋体" w:eastAsia="仿宋_GB2312" w:cs="仿宋_GB2312"/>
                <w:kern w:val="0"/>
              </w:rPr>
              <w:t>年度绩效目标</w:t>
            </w:r>
            <w:r>
              <w:rPr>
                <w:rFonts w:ascii="仿宋_GB2312" w:hAnsi="宋体" w:eastAsia="仿宋_GB2312" w:cs="仿宋_GB2312"/>
                <w:kern w:val="0"/>
              </w:rPr>
              <w:t>1</w:t>
            </w:r>
          </w:p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（</w:t>
            </w:r>
            <w:r>
              <w:rPr>
                <w:rFonts w:ascii="仿宋_GB2312" w:hAnsi="宋体" w:eastAsia="仿宋_GB2312" w:cs="仿宋_GB2312"/>
                <w:kern w:val="0"/>
                <w:sz w:val="20"/>
                <w:szCs w:val="20"/>
              </w:rPr>
              <w:t>XX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分）</w:t>
            </w:r>
          </w:p>
        </w:tc>
        <w:tc>
          <w:tcPr>
            <w:tcW w:w="700" w:type="dxa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一级指标</w:t>
            </w:r>
          </w:p>
        </w:tc>
        <w:tc>
          <w:tcPr>
            <w:tcW w:w="1122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二级指标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三级指标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年初目标值（</w:t>
            </w:r>
            <w:r>
              <w:rPr>
                <w:rFonts w:ascii="仿宋_GB2312" w:hAnsi="宋体" w:eastAsia="仿宋_GB2312" w:cs="仿宋_GB2312"/>
                <w:kern w:val="0"/>
              </w:rPr>
              <w:t>A</w:t>
            </w:r>
            <w:r>
              <w:rPr>
                <w:rFonts w:hint="eastAsia" w:ascii="仿宋_GB2312" w:hAnsi="宋体" w:eastAsia="仿宋_GB2312" w:cs="仿宋_GB2312"/>
                <w:kern w:val="0"/>
              </w:rPr>
              <w:t>）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实际完成值（</w:t>
            </w:r>
            <w:r>
              <w:rPr>
                <w:rFonts w:ascii="仿宋_GB2312" w:hAnsi="宋体" w:eastAsia="仿宋_GB2312" w:cs="仿宋_GB2312"/>
                <w:kern w:val="0"/>
              </w:rPr>
              <w:t>B</w:t>
            </w:r>
            <w:r>
              <w:rPr>
                <w:rFonts w:hint="eastAsia" w:ascii="仿宋_GB2312" w:hAnsi="宋体" w:eastAsia="仿宋_GB2312" w:cs="仿宋_GB2312"/>
                <w:kern w:val="0"/>
              </w:rPr>
              <w:t>）</w:t>
            </w:r>
          </w:p>
        </w:tc>
        <w:tc>
          <w:tcPr>
            <w:tcW w:w="877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700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成本指标</w:t>
            </w:r>
          </w:p>
        </w:tc>
        <w:tc>
          <w:tcPr>
            <w:tcW w:w="11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预算控制率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  <w:t>≤100%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  <w:t>100%</w:t>
            </w:r>
          </w:p>
        </w:tc>
        <w:tc>
          <w:tcPr>
            <w:tcW w:w="877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700" w:type="dxa"/>
            <w:vMerge w:val="restart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产出指标</w:t>
            </w:r>
          </w:p>
        </w:tc>
        <w:tc>
          <w:tcPr>
            <w:tcW w:w="11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highlight w:val="none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highlight w:val="none"/>
              </w:rPr>
              <w:t>降低肺结核发病率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highlight w:val="none"/>
                <w:lang w:val="en-US" w:eastAsia="zh-CN"/>
              </w:rPr>
              <w:t>≤0.049%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highlight w:val="none"/>
                <w:lang w:val="en-US" w:eastAsia="zh-CN"/>
              </w:rPr>
              <w:t>0.044%</w:t>
            </w:r>
          </w:p>
        </w:tc>
        <w:tc>
          <w:tcPr>
            <w:tcW w:w="877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700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1122" w:type="dxa"/>
            <w:vMerge w:val="restart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数量</w:t>
            </w:r>
            <w:r>
              <w:rPr>
                <w:rFonts w:hint="eastAsia" w:ascii="仿宋_GB2312" w:hAnsi="宋体" w:eastAsia="仿宋_GB2312" w:cs="Times New Roman"/>
                <w:kern w:val="0"/>
              </w:rPr>
              <w:t>指标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highlight w:val="none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highlight w:val="none"/>
              </w:rPr>
              <w:t>免费筛查疑似肺结核患者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highlight w:val="none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highlight w:val="none"/>
              </w:rPr>
              <w:t>≥4200例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color w:val="auto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kern w:val="0"/>
                <w:highlight w:val="none"/>
                <w:lang w:val="en-US" w:eastAsia="zh-CN"/>
              </w:rPr>
              <w:t>5725例</w:t>
            </w:r>
          </w:p>
        </w:tc>
        <w:tc>
          <w:tcPr>
            <w:tcW w:w="877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700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1122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2636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highlight w:val="none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highlight w:val="none"/>
              </w:rPr>
              <w:t>召开及参加业务培训场次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  <w:highlight w:val="none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highlight w:val="none"/>
              </w:rPr>
              <w:t>≥1场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color w:val="auto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color w:val="auto"/>
                <w:kern w:val="0"/>
                <w:highlight w:val="none"/>
                <w:lang w:val="en-US" w:eastAsia="zh-CN"/>
              </w:rPr>
              <w:t>2场</w:t>
            </w:r>
          </w:p>
        </w:tc>
        <w:tc>
          <w:tcPr>
            <w:tcW w:w="877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700" w:type="dxa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效益指标</w:t>
            </w:r>
          </w:p>
        </w:tc>
        <w:tc>
          <w:tcPr>
            <w:tcW w:w="11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Times New Roman"/>
                <w:kern w:val="0"/>
              </w:rPr>
              <w:t>有效预防控制结核病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达成预期指标</w:t>
            </w:r>
          </w:p>
        </w:tc>
        <w:tc>
          <w:tcPr>
            <w:tcW w:w="877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700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Times New Roman"/>
                <w:kern w:val="0"/>
              </w:rPr>
              <w:t>满意度指标</w:t>
            </w:r>
          </w:p>
        </w:tc>
        <w:tc>
          <w:tcPr>
            <w:tcW w:w="1122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服务对象满意度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Times New Roman"/>
                <w:kern w:val="0"/>
              </w:rPr>
              <w:t>服务对象满意度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Times New Roman"/>
                <w:kern w:val="0"/>
              </w:rPr>
              <w:t>≥95%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98%</w:t>
            </w:r>
          </w:p>
        </w:tc>
        <w:tc>
          <w:tcPr>
            <w:tcW w:w="877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20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总分</w:t>
            </w:r>
          </w:p>
        </w:tc>
        <w:tc>
          <w:tcPr>
            <w:tcW w:w="8120" w:type="dxa"/>
            <w:gridSpan w:val="9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偏差大或</w:t>
            </w:r>
          </w:p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目标未完成</w:t>
            </w:r>
          </w:p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原因分析</w:t>
            </w:r>
          </w:p>
        </w:tc>
        <w:tc>
          <w:tcPr>
            <w:tcW w:w="7420" w:type="dxa"/>
            <w:gridSpan w:val="8"/>
            <w:vAlign w:val="center"/>
          </w:tcPr>
          <w:p>
            <w:pPr>
              <w:widowControl/>
              <w:numPr>
                <w:ilvl w:val="0"/>
                <w:numId w:val="0"/>
              </w:numPr>
              <w:ind w:firstLine="2730" w:firstLineChars="1300"/>
              <w:jc w:val="left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6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改进措施及</w:t>
            </w:r>
          </w:p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结果应用方案</w:t>
            </w:r>
          </w:p>
        </w:tc>
        <w:tc>
          <w:tcPr>
            <w:tcW w:w="7420" w:type="dxa"/>
            <w:gridSpan w:val="8"/>
            <w:vAlign w:val="center"/>
          </w:tcPr>
          <w:p>
            <w:pPr>
              <w:widowControl/>
              <w:ind w:firstLine="2730" w:firstLineChars="1300"/>
              <w:jc w:val="both"/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无</w:t>
            </w:r>
          </w:p>
        </w:tc>
      </w:tr>
    </w:tbl>
    <w:p>
      <w:pPr>
        <w:widowControl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right="360" w:firstLine="360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6A7"/>
    <w:rsid w:val="00002503"/>
    <w:rsid w:val="00013B97"/>
    <w:rsid w:val="000315FD"/>
    <w:rsid w:val="000639B8"/>
    <w:rsid w:val="000675A3"/>
    <w:rsid w:val="00082E7B"/>
    <w:rsid w:val="00092618"/>
    <w:rsid w:val="000B599B"/>
    <w:rsid w:val="00122842"/>
    <w:rsid w:val="00135CAF"/>
    <w:rsid w:val="00207343"/>
    <w:rsid w:val="00213892"/>
    <w:rsid w:val="002645B9"/>
    <w:rsid w:val="002744D0"/>
    <w:rsid w:val="0029730F"/>
    <w:rsid w:val="002B315D"/>
    <w:rsid w:val="002D3079"/>
    <w:rsid w:val="002E6E21"/>
    <w:rsid w:val="00336E4C"/>
    <w:rsid w:val="004277E2"/>
    <w:rsid w:val="00454808"/>
    <w:rsid w:val="004B0542"/>
    <w:rsid w:val="004C70E3"/>
    <w:rsid w:val="004D5902"/>
    <w:rsid w:val="004F4681"/>
    <w:rsid w:val="0054044B"/>
    <w:rsid w:val="00543EF6"/>
    <w:rsid w:val="00552C91"/>
    <w:rsid w:val="00566763"/>
    <w:rsid w:val="005A1B6B"/>
    <w:rsid w:val="005A4D58"/>
    <w:rsid w:val="005D286B"/>
    <w:rsid w:val="005E12FD"/>
    <w:rsid w:val="006341ED"/>
    <w:rsid w:val="00650820"/>
    <w:rsid w:val="006936A7"/>
    <w:rsid w:val="006965E3"/>
    <w:rsid w:val="006A01AE"/>
    <w:rsid w:val="006A190B"/>
    <w:rsid w:val="006C7750"/>
    <w:rsid w:val="006F382A"/>
    <w:rsid w:val="00717A3F"/>
    <w:rsid w:val="007972B5"/>
    <w:rsid w:val="007D479B"/>
    <w:rsid w:val="007E4F58"/>
    <w:rsid w:val="00844644"/>
    <w:rsid w:val="008B5B64"/>
    <w:rsid w:val="008F435E"/>
    <w:rsid w:val="0090681D"/>
    <w:rsid w:val="009436AB"/>
    <w:rsid w:val="0097472F"/>
    <w:rsid w:val="00974E46"/>
    <w:rsid w:val="00A016A4"/>
    <w:rsid w:val="00A446FD"/>
    <w:rsid w:val="00A86BB1"/>
    <w:rsid w:val="00AF2DBF"/>
    <w:rsid w:val="00B06A06"/>
    <w:rsid w:val="00B93D14"/>
    <w:rsid w:val="00BD3CBE"/>
    <w:rsid w:val="00BF0274"/>
    <w:rsid w:val="00BF655F"/>
    <w:rsid w:val="00CA20FD"/>
    <w:rsid w:val="00CC3066"/>
    <w:rsid w:val="00CD0C8B"/>
    <w:rsid w:val="00CF49E5"/>
    <w:rsid w:val="00D049EC"/>
    <w:rsid w:val="00D54B62"/>
    <w:rsid w:val="00D67401"/>
    <w:rsid w:val="00D77CC0"/>
    <w:rsid w:val="00D844D8"/>
    <w:rsid w:val="00D97E5F"/>
    <w:rsid w:val="00DE353F"/>
    <w:rsid w:val="00E56204"/>
    <w:rsid w:val="00E7180D"/>
    <w:rsid w:val="00E91B84"/>
    <w:rsid w:val="00EA3101"/>
    <w:rsid w:val="00EB572F"/>
    <w:rsid w:val="00ED0793"/>
    <w:rsid w:val="00ED584C"/>
    <w:rsid w:val="00F0066A"/>
    <w:rsid w:val="00F15A98"/>
    <w:rsid w:val="00F570A0"/>
    <w:rsid w:val="00F84547"/>
    <w:rsid w:val="00FB21E4"/>
    <w:rsid w:val="02A6164B"/>
    <w:rsid w:val="02F23483"/>
    <w:rsid w:val="03FB0DF4"/>
    <w:rsid w:val="045C567C"/>
    <w:rsid w:val="06394D21"/>
    <w:rsid w:val="07296970"/>
    <w:rsid w:val="07E172B3"/>
    <w:rsid w:val="08247335"/>
    <w:rsid w:val="0A87586F"/>
    <w:rsid w:val="0B33097E"/>
    <w:rsid w:val="0C4E5E32"/>
    <w:rsid w:val="0CDF0700"/>
    <w:rsid w:val="0EE03638"/>
    <w:rsid w:val="0EFF4CB3"/>
    <w:rsid w:val="0F4E3869"/>
    <w:rsid w:val="0FF21991"/>
    <w:rsid w:val="1183057E"/>
    <w:rsid w:val="15146B08"/>
    <w:rsid w:val="1658241F"/>
    <w:rsid w:val="172A69A1"/>
    <w:rsid w:val="18A22344"/>
    <w:rsid w:val="18A97DE5"/>
    <w:rsid w:val="19BC04ED"/>
    <w:rsid w:val="1CC65252"/>
    <w:rsid w:val="1DFF1153"/>
    <w:rsid w:val="208C028C"/>
    <w:rsid w:val="220739B9"/>
    <w:rsid w:val="22A6053A"/>
    <w:rsid w:val="231A1EA7"/>
    <w:rsid w:val="23E05901"/>
    <w:rsid w:val="24F22593"/>
    <w:rsid w:val="25240814"/>
    <w:rsid w:val="25B3473C"/>
    <w:rsid w:val="25CE460E"/>
    <w:rsid w:val="26AE4548"/>
    <w:rsid w:val="294D3BB6"/>
    <w:rsid w:val="29A80723"/>
    <w:rsid w:val="29E23ADE"/>
    <w:rsid w:val="2C076F19"/>
    <w:rsid w:val="2DF8334F"/>
    <w:rsid w:val="2F2F5180"/>
    <w:rsid w:val="2F3713CD"/>
    <w:rsid w:val="2FFF6606"/>
    <w:rsid w:val="30BD1635"/>
    <w:rsid w:val="31C600C4"/>
    <w:rsid w:val="323C2F76"/>
    <w:rsid w:val="3339197B"/>
    <w:rsid w:val="350F7EFE"/>
    <w:rsid w:val="354C2B8A"/>
    <w:rsid w:val="35C43E97"/>
    <w:rsid w:val="35C9762D"/>
    <w:rsid w:val="361176E4"/>
    <w:rsid w:val="38A60035"/>
    <w:rsid w:val="39273355"/>
    <w:rsid w:val="3A734C62"/>
    <w:rsid w:val="3AC702FC"/>
    <w:rsid w:val="3B8F6BD8"/>
    <w:rsid w:val="3C396458"/>
    <w:rsid w:val="3C66477F"/>
    <w:rsid w:val="3E4779E5"/>
    <w:rsid w:val="3E8F6424"/>
    <w:rsid w:val="3EB653EE"/>
    <w:rsid w:val="3F28345F"/>
    <w:rsid w:val="3FCD0401"/>
    <w:rsid w:val="40116394"/>
    <w:rsid w:val="40FA33F8"/>
    <w:rsid w:val="422D75D8"/>
    <w:rsid w:val="46184525"/>
    <w:rsid w:val="47581ADB"/>
    <w:rsid w:val="47E30A98"/>
    <w:rsid w:val="47FD0258"/>
    <w:rsid w:val="490A47CF"/>
    <w:rsid w:val="497A5F98"/>
    <w:rsid w:val="49C13770"/>
    <w:rsid w:val="49D246CF"/>
    <w:rsid w:val="4A876039"/>
    <w:rsid w:val="4B3734F3"/>
    <w:rsid w:val="4B7161D5"/>
    <w:rsid w:val="4BCD230C"/>
    <w:rsid w:val="4DC42512"/>
    <w:rsid w:val="4F5E1A14"/>
    <w:rsid w:val="4F953717"/>
    <w:rsid w:val="52745E50"/>
    <w:rsid w:val="52B80F75"/>
    <w:rsid w:val="53D35C2E"/>
    <w:rsid w:val="54A804F2"/>
    <w:rsid w:val="55405B43"/>
    <w:rsid w:val="55AF2676"/>
    <w:rsid w:val="55C87499"/>
    <w:rsid w:val="56CC55E8"/>
    <w:rsid w:val="57B81486"/>
    <w:rsid w:val="58EA54AE"/>
    <w:rsid w:val="58FD37D0"/>
    <w:rsid w:val="59B26918"/>
    <w:rsid w:val="5B1E01CB"/>
    <w:rsid w:val="5B691D79"/>
    <w:rsid w:val="5B7B7313"/>
    <w:rsid w:val="5BE62C0B"/>
    <w:rsid w:val="5C0D1D52"/>
    <w:rsid w:val="5C7107C3"/>
    <w:rsid w:val="5D756267"/>
    <w:rsid w:val="5F6F16D0"/>
    <w:rsid w:val="5FEFA8FC"/>
    <w:rsid w:val="61412A77"/>
    <w:rsid w:val="62E00292"/>
    <w:rsid w:val="63E13A36"/>
    <w:rsid w:val="64D16875"/>
    <w:rsid w:val="656E074D"/>
    <w:rsid w:val="66061815"/>
    <w:rsid w:val="6606551D"/>
    <w:rsid w:val="67880E14"/>
    <w:rsid w:val="690B08AF"/>
    <w:rsid w:val="6A155836"/>
    <w:rsid w:val="6B6F109E"/>
    <w:rsid w:val="6BC849C4"/>
    <w:rsid w:val="6F02767B"/>
    <w:rsid w:val="6F5E4911"/>
    <w:rsid w:val="6FCF2FC1"/>
    <w:rsid w:val="7003207E"/>
    <w:rsid w:val="70FE6538"/>
    <w:rsid w:val="719C5F0C"/>
    <w:rsid w:val="723A6C34"/>
    <w:rsid w:val="7334084B"/>
    <w:rsid w:val="74AE536A"/>
    <w:rsid w:val="77478B0B"/>
    <w:rsid w:val="79073BFE"/>
    <w:rsid w:val="7B317800"/>
    <w:rsid w:val="7B98273B"/>
    <w:rsid w:val="7BFB58E2"/>
    <w:rsid w:val="7BFE6205"/>
    <w:rsid w:val="7C0F6222"/>
    <w:rsid w:val="7C3F14C0"/>
    <w:rsid w:val="7C490A84"/>
    <w:rsid w:val="7CCE553C"/>
    <w:rsid w:val="7DB34770"/>
    <w:rsid w:val="7DE631D7"/>
    <w:rsid w:val="7EFFD495"/>
    <w:rsid w:val="7F1E7A21"/>
    <w:rsid w:val="7FFE0E52"/>
    <w:rsid w:val="7FFF74DF"/>
    <w:rsid w:val="B6FF97CE"/>
    <w:rsid w:val="BFAF921E"/>
    <w:rsid w:val="C12F551D"/>
    <w:rsid w:val="EDFB8E90"/>
    <w:rsid w:val="EFFBBD6C"/>
    <w:rsid w:val="F36C7C01"/>
    <w:rsid w:val="FBE2CC08"/>
    <w:rsid w:val="FF7F4AEB"/>
    <w:rsid w:val="FFFF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link w:val="25"/>
    <w:qFormat/>
    <w:uiPriority w:val="9"/>
    <w:pPr>
      <w:keepNext/>
      <w:keepLines/>
      <w:spacing w:before="240" w:after="120"/>
      <w:jc w:val="center"/>
      <w:outlineLvl w:val="0"/>
    </w:pPr>
    <w:rPr>
      <w:rFonts w:eastAsia="方正小标宋简体"/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26"/>
    <w:qFormat/>
    <w:uiPriority w:val="99"/>
    <w:pPr>
      <w:keepNext/>
      <w:keepLines/>
      <w:jc w:val="left"/>
      <w:outlineLvl w:val="1"/>
    </w:pPr>
    <w:rPr>
      <w:rFonts w:eastAsia="黑体"/>
      <w:b/>
      <w:bCs/>
      <w:kern w:val="0"/>
      <w:sz w:val="30"/>
      <w:szCs w:val="32"/>
    </w:rPr>
  </w:style>
  <w:style w:type="paragraph" w:styleId="6">
    <w:name w:val="heading 3"/>
    <w:basedOn w:val="1"/>
    <w:next w:val="1"/>
    <w:link w:val="27"/>
    <w:qFormat/>
    <w:uiPriority w:val="9"/>
    <w:pPr>
      <w:keepNext/>
      <w:keepLines/>
      <w:jc w:val="left"/>
      <w:outlineLvl w:val="2"/>
    </w:pPr>
    <w:rPr>
      <w:b/>
      <w:bCs/>
      <w:kern w:val="0"/>
      <w:szCs w:val="32"/>
    </w:rPr>
  </w:style>
  <w:style w:type="paragraph" w:styleId="7">
    <w:name w:val="heading 4"/>
    <w:basedOn w:val="1"/>
    <w:next w:val="1"/>
    <w:link w:val="28"/>
    <w:qFormat/>
    <w:uiPriority w:val="9"/>
    <w:pPr>
      <w:keepNext/>
      <w:keepLines/>
      <w:outlineLvl w:val="3"/>
    </w:pPr>
    <w:rPr>
      <w:b/>
      <w:bCs/>
      <w:szCs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 w:afterLines="0" w:afterAutospacing="0"/>
      <w:ind w:left="420" w:leftChars="200"/>
    </w:pPr>
  </w:style>
  <w:style w:type="paragraph" w:styleId="8">
    <w:name w:val="annotation subject"/>
    <w:basedOn w:val="9"/>
    <w:next w:val="9"/>
    <w:link w:val="36"/>
    <w:semiHidden/>
    <w:qFormat/>
    <w:uiPriority w:val="99"/>
    <w:rPr>
      <w:b/>
      <w:bCs/>
    </w:rPr>
  </w:style>
  <w:style w:type="paragraph" w:styleId="9">
    <w:name w:val="annotation text"/>
    <w:basedOn w:val="1"/>
    <w:link w:val="29"/>
    <w:unhideWhenUsed/>
    <w:qFormat/>
    <w:uiPriority w:val="99"/>
    <w:pPr>
      <w:jc w:val="left"/>
    </w:pPr>
  </w:style>
  <w:style w:type="paragraph" w:styleId="10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1">
    <w:name w:val="Date"/>
    <w:basedOn w:val="1"/>
    <w:next w:val="1"/>
    <w:link w:val="37"/>
    <w:semiHidden/>
    <w:qFormat/>
    <w:uiPriority w:val="99"/>
    <w:pPr>
      <w:ind w:left="100" w:leftChars="2500"/>
    </w:pPr>
  </w:style>
  <w:style w:type="paragraph" w:styleId="12">
    <w:name w:val="Balloon Text"/>
    <w:basedOn w:val="1"/>
    <w:link w:val="38"/>
    <w:semiHidden/>
    <w:qFormat/>
    <w:uiPriority w:val="99"/>
    <w:rPr>
      <w:sz w:val="18"/>
      <w:szCs w:val="18"/>
    </w:rPr>
  </w:style>
  <w:style w:type="paragraph" w:styleId="13">
    <w:name w:val="footer"/>
    <w:basedOn w:val="1"/>
    <w:link w:val="3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4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  <w:pPr>
      <w:tabs>
        <w:tab w:val="right" w:leader="dot" w:pos="9060"/>
      </w:tabs>
      <w:spacing w:line="440" w:lineRule="exact"/>
    </w:pPr>
    <w:rPr>
      <w:rFonts w:eastAsia="黑体"/>
      <w:b/>
      <w:sz w:val="24"/>
    </w:rPr>
  </w:style>
  <w:style w:type="paragraph" w:styleId="16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7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Calibri"/>
      <w:kern w:val="0"/>
      <w:sz w:val="24"/>
      <w:szCs w:val="24"/>
    </w:rPr>
  </w:style>
  <w:style w:type="character" w:styleId="19">
    <w:name w:val="Strong"/>
    <w:qFormat/>
    <w:uiPriority w:val="22"/>
    <w:rPr>
      <w:b/>
      <w:bCs/>
    </w:rPr>
  </w:style>
  <w:style w:type="character" w:styleId="20">
    <w:name w:val="page number"/>
    <w:basedOn w:val="18"/>
    <w:qFormat/>
    <w:uiPriority w:val="99"/>
  </w:style>
  <w:style w:type="character" w:styleId="21">
    <w:name w:val="FollowedHyperlink"/>
    <w:semiHidden/>
    <w:qFormat/>
    <w:uiPriority w:val="99"/>
    <w:rPr>
      <w:color w:val="800080"/>
      <w:u w:val="single"/>
    </w:rPr>
  </w:style>
  <w:style w:type="character" w:styleId="22">
    <w:name w:val="Hyperlink"/>
    <w:qFormat/>
    <w:uiPriority w:val="99"/>
    <w:rPr>
      <w:color w:val="0000FF"/>
      <w:u w:val="single"/>
    </w:rPr>
  </w:style>
  <w:style w:type="character" w:styleId="23">
    <w:name w:val="annotation reference"/>
    <w:unhideWhenUsed/>
    <w:qFormat/>
    <w:uiPriority w:val="99"/>
    <w:rPr>
      <w:sz w:val="21"/>
      <w:szCs w:val="21"/>
    </w:rPr>
  </w:style>
  <w:style w:type="character" w:customStyle="1" w:styleId="25">
    <w:name w:val="标题 1 Char"/>
    <w:link w:val="4"/>
    <w:qFormat/>
    <w:uiPriority w:val="9"/>
    <w:rPr>
      <w:rFonts w:ascii="Times New Roman" w:hAnsi="Times New Roman" w:eastAsia="方正小标宋简体"/>
      <w:b/>
      <w:bCs/>
      <w:kern w:val="44"/>
      <w:sz w:val="44"/>
      <w:szCs w:val="44"/>
    </w:rPr>
  </w:style>
  <w:style w:type="character" w:customStyle="1" w:styleId="26">
    <w:name w:val="标题 2 Char"/>
    <w:link w:val="5"/>
    <w:qFormat/>
    <w:uiPriority w:val="9"/>
    <w:rPr>
      <w:rFonts w:ascii="Times New Roman" w:hAnsi="Times New Roman" w:eastAsia="黑体"/>
      <w:b/>
      <w:bCs/>
      <w:sz w:val="30"/>
      <w:szCs w:val="32"/>
    </w:rPr>
  </w:style>
  <w:style w:type="character" w:customStyle="1" w:styleId="27">
    <w:name w:val="标题 3 Char"/>
    <w:link w:val="6"/>
    <w:qFormat/>
    <w:uiPriority w:val="9"/>
    <w:rPr>
      <w:rFonts w:ascii="Times New Roman" w:hAnsi="Times New Roman" w:eastAsia="仿宋_GB2312"/>
      <w:b/>
      <w:bCs/>
      <w:sz w:val="28"/>
      <w:szCs w:val="32"/>
    </w:rPr>
  </w:style>
  <w:style w:type="character" w:customStyle="1" w:styleId="28">
    <w:name w:val="标题 4 Char"/>
    <w:link w:val="7"/>
    <w:qFormat/>
    <w:uiPriority w:val="9"/>
    <w:rPr>
      <w:rFonts w:ascii="Times New Roman" w:hAnsi="Times New Roman" w:eastAsia="仿宋_GB2312"/>
      <w:b/>
      <w:bCs/>
      <w:kern w:val="2"/>
      <w:sz w:val="28"/>
      <w:szCs w:val="28"/>
    </w:rPr>
  </w:style>
  <w:style w:type="character" w:customStyle="1" w:styleId="29">
    <w:name w:val="批注文字 Char"/>
    <w:link w:val="9"/>
    <w:qFormat/>
    <w:uiPriority w:val="99"/>
    <w:rPr>
      <w:rFonts w:ascii="Times New Roman" w:hAnsi="Times New Roman" w:eastAsia="仿宋_GB2312"/>
      <w:kern w:val="2"/>
      <w:sz w:val="28"/>
      <w:szCs w:val="24"/>
    </w:rPr>
  </w:style>
  <w:style w:type="paragraph" w:styleId="30">
    <w:name w:val="No Spacing"/>
    <w:qFormat/>
    <w:uiPriority w:val="1"/>
    <w:pPr>
      <w:widowControl w:val="0"/>
      <w:topLinePunct/>
      <w:ind w:firstLine="200" w:firstLineChars="200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paragraph" w:styleId="31">
    <w:name w:val="List Paragraph"/>
    <w:basedOn w:val="1"/>
    <w:qFormat/>
    <w:uiPriority w:val="99"/>
    <w:pPr>
      <w:ind w:firstLine="420"/>
    </w:pPr>
  </w:style>
  <w:style w:type="paragraph" w:customStyle="1" w:styleId="32">
    <w:name w:val="TOC Heading"/>
    <w:basedOn w:val="4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/>
      <w:color w:val="365F91"/>
      <w:kern w:val="0"/>
      <w:sz w:val="28"/>
      <w:szCs w:val="28"/>
    </w:rPr>
  </w:style>
  <w:style w:type="paragraph" w:customStyle="1" w:styleId="33">
    <w:name w:val="目录 31"/>
    <w:basedOn w:val="1"/>
    <w:next w:val="1"/>
    <w:unhideWhenUsed/>
    <w:qFormat/>
    <w:uiPriority w:val="39"/>
    <w:pPr>
      <w:ind w:left="560"/>
      <w:jc w:val="left"/>
    </w:pPr>
    <w:rPr>
      <w:rFonts w:ascii="Calibri" w:hAnsi="Calibri" w:cs="Calibri"/>
      <w:i/>
      <w:iCs/>
      <w:sz w:val="20"/>
      <w:szCs w:val="20"/>
    </w:rPr>
  </w:style>
  <w:style w:type="paragraph" w:customStyle="1" w:styleId="34">
    <w:name w:val="目录 11"/>
    <w:basedOn w:val="1"/>
    <w:next w:val="1"/>
    <w:unhideWhenUsed/>
    <w:qFormat/>
    <w:uiPriority w:val="39"/>
    <w:pPr>
      <w:spacing w:before="120" w:after="120"/>
      <w:jc w:val="left"/>
    </w:pPr>
    <w:rPr>
      <w:rFonts w:ascii="Calibri" w:hAnsi="Calibri" w:cs="Calibri"/>
      <w:b/>
      <w:bCs/>
      <w:caps/>
      <w:sz w:val="20"/>
      <w:szCs w:val="20"/>
    </w:rPr>
  </w:style>
  <w:style w:type="paragraph" w:customStyle="1" w:styleId="35">
    <w:name w:val="目录 21"/>
    <w:basedOn w:val="1"/>
    <w:next w:val="1"/>
    <w:unhideWhenUsed/>
    <w:qFormat/>
    <w:uiPriority w:val="39"/>
    <w:pPr>
      <w:ind w:left="280"/>
      <w:jc w:val="left"/>
    </w:pPr>
    <w:rPr>
      <w:rFonts w:ascii="Calibri" w:hAnsi="Calibri" w:cs="Calibri"/>
      <w:smallCaps/>
      <w:sz w:val="20"/>
      <w:szCs w:val="20"/>
    </w:rPr>
  </w:style>
  <w:style w:type="character" w:customStyle="1" w:styleId="36">
    <w:name w:val="批注主题 Char"/>
    <w:basedOn w:val="29"/>
    <w:link w:val="8"/>
    <w:semiHidden/>
    <w:qFormat/>
    <w:uiPriority w:val="99"/>
    <w:rPr>
      <w:rFonts w:ascii="等线" w:hAnsi="等线" w:eastAsia="等线" w:cs="等线"/>
      <w:b/>
      <w:bCs/>
      <w:sz w:val="21"/>
      <w:szCs w:val="21"/>
    </w:rPr>
  </w:style>
  <w:style w:type="character" w:customStyle="1" w:styleId="37">
    <w:name w:val="日期 Char"/>
    <w:basedOn w:val="18"/>
    <w:link w:val="11"/>
    <w:semiHidden/>
    <w:qFormat/>
    <w:uiPriority w:val="99"/>
    <w:rPr>
      <w:rFonts w:ascii="等线" w:hAnsi="等线" w:eastAsia="等线" w:cs="等线"/>
      <w:kern w:val="2"/>
      <w:sz w:val="21"/>
      <w:szCs w:val="21"/>
    </w:rPr>
  </w:style>
  <w:style w:type="character" w:customStyle="1" w:styleId="38">
    <w:name w:val="批注框文本 Char"/>
    <w:basedOn w:val="18"/>
    <w:link w:val="12"/>
    <w:semiHidden/>
    <w:qFormat/>
    <w:uiPriority w:val="99"/>
    <w:rPr>
      <w:rFonts w:ascii="等线" w:hAnsi="等线" w:eastAsia="等线" w:cs="等线"/>
      <w:kern w:val="2"/>
      <w:sz w:val="18"/>
      <w:szCs w:val="18"/>
    </w:rPr>
  </w:style>
  <w:style w:type="character" w:customStyle="1" w:styleId="39">
    <w:name w:val="页脚 Char"/>
    <w:basedOn w:val="18"/>
    <w:link w:val="13"/>
    <w:qFormat/>
    <w:uiPriority w:val="99"/>
    <w:rPr>
      <w:rFonts w:ascii="等线" w:hAnsi="等线" w:eastAsia="等线" w:cs="等线"/>
      <w:kern w:val="2"/>
      <w:sz w:val="18"/>
      <w:szCs w:val="18"/>
    </w:rPr>
  </w:style>
  <w:style w:type="character" w:customStyle="1" w:styleId="40">
    <w:name w:val="页眉 Char"/>
    <w:basedOn w:val="18"/>
    <w:link w:val="14"/>
    <w:qFormat/>
    <w:uiPriority w:val="99"/>
    <w:rPr>
      <w:rFonts w:ascii="等线" w:hAnsi="等线" w:eastAsia="等线" w:cs="等线"/>
      <w:kern w:val="2"/>
      <w:sz w:val="18"/>
      <w:szCs w:val="18"/>
    </w:rPr>
  </w:style>
  <w:style w:type="paragraph" w:customStyle="1" w:styleId="41">
    <w:name w:val="msonormal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2">
    <w:name w:val="xl77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0"/>
      <w:szCs w:val="20"/>
    </w:rPr>
  </w:style>
  <w:style w:type="paragraph" w:customStyle="1" w:styleId="43">
    <w:name w:val="xl78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4">
    <w:name w:val="xl7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C0"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5">
    <w:name w:val="xl8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FF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6">
    <w:name w:val="xl8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7">
    <w:name w:val="xl8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FF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8">
    <w:name w:val="xl8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9">
    <w:name w:val="xl84"/>
    <w:basedOn w:val="1"/>
    <w:qFormat/>
    <w:uiPriority w:val="99"/>
    <w:pPr>
      <w:widowControl/>
      <w:pBdr>
        <w:lef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0">
    <w:name w:val="xl8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FF"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1">
    <w:name w:val="xl8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2">
    <w:name w:val="xl8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3">
    <w:name w:val="xl8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4">
    <w:name w:val="xl8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FF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5">
    <w:name w:val="xl9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6">
    <w:name w:val="xl91"/>
    <w:basedOn w:val="1"/>
    <w:qFormat/>
    <w:uiPriority w:val="99"/>
    <w:pPr>
      <w:widowControl/>
      <w:pBdr>
        <w:top w:val="single" w:color="auto" w:sz="4" w:space="0"/>
        <w:lef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7">
    <w:name w:val="xl9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8">
    <w:name w:val="xl93"/>
    <w:basedOn w:val="1"/>
    <w:qFormat/>
    <w:uiPriority w:val="99"/>
    <w:pPr>
      <w:widowControl/>
      <w:pBdr>
        <w:top w:val="single" w:color="auto" w:sz="4" w:space="0"/>
        <w:lef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9">
    <w:name w:val="xl9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0">
    <w:name w:val="xl95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1">
    <w:name w:val="xl96"/>
    <w:basedOn w:val="1"/>
    <w:qFormat/>
    <w:uiPriority w:val="99"/>
    <w:pPr>
      <w:widowControl/>
      <w:pBdr>
        <w:left w:val="single" w:color="auto" w:sz="4" w:space="0"/>
        <w:bottom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2">
    <w:name w:val="xl97"/>
    <w:basedOn w:val="1"/>
    <w:qFormat/>
    <w:uiPriority w:val="99"/>
    <w:pPr>
      <w:widowControl/>
      <w:pBdr>
        <w:left w:val="single" w:color="auto" w:sz="4" w:space="0"/>
        <w:bottom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3">
    <w:name w:val="xl98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4">
    <w:name w:val="xl99"/>
    <w:basedOn w:val="1"/>
    <w:qFormat/>
    <w:uiPriority w:val="99"/>
    <w:pPr>
      <w:widowControl/>
      <w:pBdr>
        <w:left w:val="single" w:color="auto" w:sz="4" w:space="0"/>
        <w:righ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5">
    <w:name w:val="xl10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6">
    <w:name w:val="抄 送"/>
    <w:basedOn w:val="1"/>
    <w:qFormat/>
    <w:uiPriority w:val="0"/>
    <w:pPr>
      <w:framePr w:wrap="notBeside" w:vAnchor="margin" w:hAnchor="margin" w:yAlign="bottom"/>
    </w:pPr>
    <w:rPr>
      <w:rFonts w:ascii="Calibri" w:hAnsi="Calibri" w:eastAsia="仿宋_GB2312" w:cs="Calibri"/>
      <w:sz w:val="32"/>
      <w:szCs w:val="32"/>
    </w:rPr>
  </w:style>
  <w:style w:type="paragraph" w:customStyle="1" w:styleId="67">
    <w:name w:val="xl65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68">
    <w:name w:val="xl6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69">
    <w:name w:val="xl6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70">
    <w:name w:val="xl6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71">
    <w:name w:val="xl6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72">
    <w:name w:val="xl7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73">
    <w:name w:val="xl7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4">
    <w:name w:val="xl7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5">
    <w:name w:val="xl7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76">
    <w:name w:val="xl7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16"/>
      <w:szCs w:val="16"/>
    </w:rPr>
  </w:style>
  <w:style w:type="paragraph" w:customStyle="1" w:styleId="77">
    <w:name w:val="xl75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0"/>
      <w:szCs w:val="20"/>
    </w:rPr>
  </w:style>
  <w:style w:type="paragraph" w:customStyle="1" w:styleId="78">
    <w:name w:val="xl7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0"/>
      <w:szCs w:val="20"/>
    </w:rPr>
  </w:style>
  <w:style w:type="paragraph" w:customStyle="1" w:styleId="79">
    <w:name w:val="列出段落1"/>
    <w:basedOn w:val="1"/>
    <w:qFormat/>
    <w:uiPriority w:val="99"/>
    <w:pPr>
      <w:ind w:firstLine="420" w:firstLineChars="200"/>
    </w:pPr>
    <w:rPr>
      <w:rFonts w:ascii="Calibri" w:hAnsi="Calibri" w:eastAsia="宋体" w:cs="Calibri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35</Pages>
  <Words>2074</Words>
  <Characters>11825</Characters>
  <Lines>98</Lines>
  <Paragraphs>27</Paragraphs>
  <TotalTime>4</TotalTime>
  <ScaleCrop>false</ScaleCrop>
  <LinksUpToDate>false</LinksUpToDate>
  <CharactersWithSpaces>13872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2020-08-14T17:04:00Z</dcterms:created>
  <dc:creator>微软用户</dc:creator>
  <cp:lastModifiedBy>dell</cp:lastModifiedBy>
  <cp:lastPrinted>2021-03-19T17:42:00Z</cp:lastPrinted>
  <dcterms:modified xsi:type="dcterms:W3CDTF">2026-03-12T01:25:37Z</dcterms:modified>
  <cp:revision>418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