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结核病筛查经费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绩效自评表</w:t>
      </w:r>
    </w:p>
    <w:p>
      <w:pPr>
        <w:rPr>
          <w:rFonts w:cs="Times New Roman"/>
        </w:rPr>
      </w:pPr>
    </w:p>
    <w:p>
      <w:pPr>
        <w:widowControl/>
        <w:jc w:val="left"/>
        <w:rPr>
          <w:rFonts w:hint="default" w:ascii="楷体_GB2312" w:hAnsi="黑体" w:eastAsia="楷体_GB2312" w:cs="Times New Roman"/>
          <w:kern w:val="0"/>
          <w:sz w:val="48"/>
          <w:szCs w:val="48"/>
          <w:lang w:val="en-US" w:eastAsia="zh-CN"/>
        </w:rPr>
      </w:pPr>
      <w:r>
        <w:rPr>
          <w:rFonts w:hint="eastAsia" w:ascii="楷体_GB2312" w:hAnsi="仿宋" w:eastAsia="楷体_GB2312" w:cs="楷体_GB2312"/>
          <w:kern w:val="0"/>
          <w:sz w:val="28"/>
          <w:szCs w:val="28"/>
        </w:rPr>
        <w:t>单位名称</w:t>
      </w:r>
      <w:r>
        <w:rPr>
          <w:rFonts w:hint="eastAsia" w:ascii="楷体_GB2312" w:hAnsi="仿宋" w:eastAsia="楷体_GB2312" w:cs="楷体_GB2312"/>
          <w:kern w:val="0"/>
          <w:sz w:val="28"/>
          <w:szCs w:val="28"/>
          <w:lang w:eastAsia="zh-CN"/>
        </w:rPr>
        <w:t>：</w:t>
      </w:r>
      <w:r>
        <w:rPr>
          <w:rFonts w:hint="eastAsia" w:ascii="楷体_GB2312" w:hAnsi="仿宋" w:eastAsia="楷体_GB2312" w:cs="楷体_GB2312"/>
          <w:kern w:val="0"/>
          <w:sz w:val="28"/>
          <w:szCs w:val="28"/>
          <w:lang w:val="en-US" w:eastAsia="zh-CN"/>
        </w:rPr>
        <w:t>襄阳市结核病防治院</w:t>
      </w:r>
      <w:r>
        <w:rPr>
          <w:rFonts w:ascii="楷体_GB2312" w:hAnsi="仿宋" w:eastAsia="楷体_GB2312" w:cs="楷体_GB2312"/>
          <w:kern w:val="0"/>
          <w:sz w:val="28"/>
          <w:szCs w:val="28"/>
        </w:rPr>
        <w:t xml:space="preserve">      </w:t>
      </w:r>
      <w:r>
        <w:rPr>
          <w:rFonts w:hint="eastAsia" w:ascii="楷体_GB2312" w:hAnsi="仿宋" w:eastAsia="楷体_GB2312" w:cs="楷体_GB2312"/>
          <w:kern w:val="0"/>
          <w:sz w:val="28"/>
          <w:szCs w:val="28"/>
        </w:rPr>
        <w:t>填报日期：</w:t>
      </w:r>
      <w:r>
        <w:rPr>
          <w:rFonts w:hint="eastAsia" w:ascii="楷体_GB2312" w:hAnsi="仿宋" w:eastAsia="楷体_GB2312" w:cs="楷体_GB2312"/>
          <w:kern w:val="0"/>
          <w:sz w:val="28"/>
          <w:szCs w:val="28"/>
          <w:lang w:val="en-US" w:eastAsia="zh-CN"/>
        </w:rPr>
        <w:t>2026年3月11日</w:t>
      </w:r>
    </w:p>
    <w:tbl>
      <w:tblPr>
        <w:tblStyle w:val="24"/>
        <w:tblW w:w="909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700"/>
        <w:gridCol w:w="1122"/>
        <w:gridCol w:w="1319"/>
        <w:gridCol w:w="669"/>
        <w:gridCol w:w="648"/>
        <w:gridCol w:w="918"/>
        <w:gridCol w:w="548"/>
        <w:gridCol w:w="1319"/>
        <w:gridCol w:w="1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项目名称</w:t>
            </w:r>
          </w:p>
        </w:tc>
        <w:tc>
          <w:tcPr>
            <w:tcW w:w="7568" w:type="dxa"/>
            <w:gridSpan w:val="8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教育专项-结核病筛查经费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主管部门</w:t>
            </w:r>
          </w:p>
        </w:tc>
        <w:tc>
          <w:tcPr>
            <w:tcW w:w="3110" w:type="dxa"/>
            <w:gridSpan w:val="3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襄阳市卫生健康委员会</w:t>
            </w:r>
          </w:p>
        </w:tc>
        <w:tc>
          <w:tcPr>
            <w:tcW w:w="15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项目实施单位</w:t>
            </w:r>
          </w:p>
        </w:tc>
        <w:tc>
          <w:tcPr>
            <w:tcW w:w="2892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 xml:space="preserve">襄阳市结核病防治院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项目类别</w:t>
            </w:r>
          </w:p>
        </w:tc>
        <w:tc>
          <w:tcPr>
            <w:tcW w:w="7568" w:type="dxa"/>
            <w:gridSpan w:val="8"/>
            <w:vAlign w:val="center"/>
          </w:tcPr>
          <w:p>
            <w:pPr>
              <w:widowControl/>
              <w:numPr>
                <w:ilvl w:val="0"/>
                <w:numId w:val="0"/>
              </w:numPr>
              <w:snapToGrid w:val="0"/>
              <w:jc w:val="left"/>
              <w:rPr>
                <w:rFonts w:ascii="仿宋_GB2312" w:hAnsi="宋体" w:eastAsia="仿宋_GB2312" w:cs="Times New Roman"/>
                <w:color w:val="auto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</w:rPr>
              <w:t>部门预算项目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eastAsia="zh-CN"/>
              </w:rPr>
              <w:t>☑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 xml:space="preserve">   2.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eastAsia="zh-CN"/>
              </w:rPr>
              <w:t>政府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</w:rPr>
              <w:t>专项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eastAsia="zh-CN"/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 xml:space="preserve">  3.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eastAsia="zh-CN"/>
              </w:rPr>
              <w:t>政府投资项目□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 xml:space="preserve">  4.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eastAsia="zh-CN"/>
              </w:rPr>
              <w:t>市对下转移支付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项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eastAsia="zh-CN"/>
              </w:rPr>
              <w:t>□　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5.具有特定用途和具体使用目标的共同事权类一般性转移支付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项目属性</w:t>
            </w:r>
          </w:p>
        </w:tc>
        <w:tc>
          <w:tcPr>
            <w:tcW w:w="7568" w:type="dxa"/>
            <w:gridSpan w:val="8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>1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持续性项目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   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□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  2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新增性项目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☑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项目类型</w:t>
            </w:r>
          </w:p>
        </w:tc>
        <w:tc>
          <w:tcPr>
            <w:tcW w:w="7568" w:type="dxa"/>
            <w:gridSpan w:val="8"/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_GB2312" w:hAnsi="宋体" w:eastAsia="仿宋_GB2312" w:cs="Times New Roman"/>
                <w:kern w:val="0"/>
                <w:lang w:eastAsia="zh-CN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>1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常年性项目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   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□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  2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延续性项目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□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     3</w:t>
            </w: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 w:cs="仿宋_GB2312"/>
                <w:kern w:val="0"/>
              </w:rPr>
              <w:t>一次性项目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Merge w:val="restart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预算执行情况（万元）</w:t>
            </w:r>
          </w:p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（</w:t>
            </w:r>
            <w:r>
              <w:rPr>
                <w:rFonts w:ascii="仿宋_GB2312" w:hAnsi="宋体" w:eastAsia="仿宋_GB2312" w:cs="仿宋_GB2312"/>
                <w:kern w:val="0"/>
              </w:rPr>
              <w:t>20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分）</w:t>
            </w:r>
          </w:p>
        </w:tc>
        <w:tc>
          <w:tcPr>
            <w:tcW w:w="1122" w:type="dxa"/>
            <w:vMerge w:val="restart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年度财政资金总额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预算数（</w:t>
            </w:r>
            <w:r>
              <w:rPr>
                <w:rFonts w:ascii="仿宋_GB2312" w:hAnsi="宋体" w:eastAsia="仿宋_GB2312" w:cs="仿宋_GB2312"/>
                <w:kern w:val="0"/>
              </w:rPr>
              <w:t>A）</w:t>
            </w:r>
          </w:p>
        </w:tc>
        <w:tc>
          <w:tcPr>
            <w:tcW w:w="1317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执行数</w:t>
            </w:r>
            <w:r>
              <w:rPr>
                <w:rFonts w:ascii="仿宋_GB2312" w:hAnsi="宋体" w:eastAsia="仿宋_GB2312" w:cs="仿宋_GB2312"/>
                <w:kern w:val="0"/>
              </w:rPr>
              <w:t>（B）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执行率</w:t>
            </w:r>
            <w:r>
              <w:rPr>
                <w:rFonts w:ascii="仿宋_GB2312" w:hAnsi="宋体" w:eastAsia="仿宋_GB2312" w:cs="仿宋_GB2312"/>
                <w:kern w:val="0"/>
              </w:rPr>
              <w:t>（B/A）</w:t>
            </w:r>
          </w:p>
        </w:tc>
        <w:tc>
          <w:tcPr>
            <w:tcW w:w="2344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得分</w:t>
            </w:r>
          </w:p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（</w:t>
            </w:r>
            <w:r>
              <w:rPr>
                <w:rFonts w:ascii="仿宋_GB2312" w:hAnsi="宋体" w:eastAsia="仿宋_GB2312" w:cs="仿宋_GB2312"/>
                <w:kern w:val="0"/>
              </w:rPr>
              <w:t>20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分</w:t>
            </w:r>
            <w:r>
              <w:rPr>
                <w:rFonts w:ascii="仿宋_GB2312" w:hAnsi="宋体" w:eastAsia="仿宋_GB2312" w:cs="仿宋_GB2312"/>
                <w:kern w:val="0"/>
              </w:rPr>
              <w:t>*</w:t>
            </w:r>
            <w:r>
              <w:rPr>
                <w:rFonts w:hint="eastAsia" w:ascii="仿宋_GB2312" w:hAnsi="宋体" w:eastAsia="仿宋_GB2312" w:cs="仿宋_GB2312"/>
                <w:kern w:val="0"/>
              </w:rPr>
              <w:t>执行率）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1122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42.22</w:t>
            </w:r>
          </w:p>
        </w:tc>
        <w:tc>
          <w:tcPr>
            <w:tcW w:w="1317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42.22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100%</w:t>
            </w:r>
          </w:p>
        </w:tc>
        <w:tc>
          <w:tcPr>
            <w:tcW w:w="2344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Merge w:val="restart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年度绩效目标</w:t>
            </w:r>
            <w:r>
              <w:rPr>
                <w:rFonts w:ascii="仿宋_GB2312" w:hAnsi="宋体" w:eastAsia="仿宋_GB2312" w:cs="仿宋_GB2312"/>
                <w:kern w:val="0"/>
              </w:rPr>
              <w:t>1</w:t>
            </w:r>
          </w:p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（</w:t>
            </w:r>
            <w:r>
              <w:rPr>
                <w:rFonts w:ascii="仿宋_GB2312" w:hAnsi="宋体" w:eastAsia="仿宋_GB2312" w:cs="仿宋_GB2312"/>
                <w:kern w:val="0"/>
                <w:sz w:val="20"/>
                <w:szCs w:val="20"/>
              </w:rPr>
              <w:t>XX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分）</w:t>
            </w:r>
          </w:p>
        </w:tc>
        <w:tc>
          <w:tcPr>
            <w:tcW w:w="700" w:type="dxa"/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一级指标</w:t>
            </w:r>
          </w:p>
        </w:tc>
        <w:tc>
          <w:tcPr>
            <w:tcW w:w="1122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二级指标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三级指标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年初目标值（</w:t>
            </w:r>
            <w:r>
              <w:rPr>
                <w:rFonts w:ascii="仿宋_GB2312" w:hAnsi="宋体" w:eastAsia="仿宋_GB2312" w:cs="仿宋_GB2312"/>
                <w:kern w:val="0"/>
              </w:rPr>
              <w:t>A</w:t>
            </w:r>
            <w:r>
              <w:rPr>
                <w:rFonts w:hint="eastAsia" w:ascii="仿宋_GB2312" w:hAnsi="宋体" w:eastAsia="仿宋_GB2312" w:cs="仿宋_GB2312"/>
                <w:kern w:val="0"/>
              </w:rPr>
              <w:t>）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实际完成值（</w:t>
            </w:r>
            <w:r>
              <w:rPr>
                <w:rFonts w:ascii="仿宋_GB2312" w:hAnsi="宋体" w:eastAsia="仿宋_GB2312" w:cs="仿宋_GB2312"/>
                <w:kern w:val="0"/>
              </w:rPr>
              <w:t>B</w:t>
            </w:r>
            <w:r>
              <w:rPr>
                <w:rFonts w:hint="eastAsia" w:ascii="仿宋_GB2312" w:hAnsi="宋体" w:eastAsia="仿宋_GB2312" w:cs="仿宋_GB2312"/>
                <w:kern w:val="0"/>
              </w:rPr>
              <w:t>）</w:t>
            </w:r>
          </w:p>
        </w:tc>
        <w:tc>
          <w:tcPr>
            <w:tcW w:w="1025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700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成本指标</w:t>
            </w:r>
          </w:p>
        </w:tc>
        <w:tc>
          <w:tcPr>
            <w:tcW w:w="11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预算控制率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≤100%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  <w:t>100%</w:t>
            </w:r>
          </w:p>
        </w:tc>
        <w:tc>
          <w:tcPr>
            <w:tcW w:w="1025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700" w:type="dxa"/>
            <w:vMerge w:val="restart"/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产出指标</w:t>
            </w:r>
          </w:p>
        </w:tc>
        <w:tc>
          <w:tcPr>
            <w:tcW w:w="1122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数量指标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筛查学生人数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≥45000例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46241</w:t>
            </w:r>
          </w:p>
        </w:tc>
        <w:tc>
          <w:tcPr>
            <w:tcW w:w="1025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bookmarkStart w:id="0" w:name="_GoBack" w:colFirst="3" w:colLast="5"/>
          </w:p>
        </w:tc>
        <w:tc>
          <w:tcPr>
            <w:tcW w:w="700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1122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质量指标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highlight w:val="yellow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highlight w:val="yellow"/>
                <w:lang w:val="en-US" w:eastAsia="zh-CN"/>
              </w:rPr>
              <w:t>降低结核病发病率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highlight w:val="yellow"/>
                <w:lang w:val="en-US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highlight w:val="yellow"/>
                <w:lang w:val="en-US" w:eastAsia="zh-CN"/>
              </w:rPr>
              <w:t>≤0.026%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highlight w:val="yellow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highlight w:val="yellow"/>
                <w:lang w:val="en-US" w:eastAsia="zh-CN"/>
              </w:rPr>
              <w:t>0.024%</w:t>
            </w:r>
          </w:p>
        </w:tc>
        <w:tc>
          <w:tcPr>
            <w:tcW w:w="1025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20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700" w:type="dxa"/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效益指标</w:t>
            </w:r>
          </w:p>
        </w:tc>
        <w:tc>
          <w:tcPr>
            <w:tcW w:w="1122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经济效益指标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有效控制学校结核病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完成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完成</w:t>
            </w:r>
          </w:p>
        </w:tc>
        <w:tc>
          <w:tcPr>
            <w:tcW w:w="1025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700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Times New Roman"/>
                <w:kern w:val="0"/>
              </w:rPr>
              <w:t>满意度指标</w:t>
            </w:r>
          </w:p>
        </w:tc>
        <w:tc>
          <w:tcPr>
            <w:tcW w:w="1122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服务对象满意度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服务对象满意度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≥95%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100%</w:t>
            </w:r>
          </w:p>
        </w:tc>
        <w:tc>
          <w:tcPr>
            <w:tcW w:w="1025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总分</w:t>
            </w:r>
          </w:p>
        </w:tc>
        <w:tc>
          <w:tcPr>
            <w:tcW w:w="8268" w:type="dxa"/>
            <w:gridSpan w:val="9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偏差大或</w:t>
            </w:r>
          </w:p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目标未完成</w:t>
            </w:r>
          </w:p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原因分析</w:t>
            </w:r>
          </w:p>
        </w:tc>
        <w:tc>
          <w:tcPr>
            <w:tcW w:w="7568" w:type="dxa"/>
            <w:gridSpan w:val="8"/>
            <w:vAlign w:val="center"/>
          </w:tcPr>
          <w:p>
            <w:pPr>
              <w:widowControl/>
              <w:numPr>
                <w:ilvl w:val="0"/>
                <w:numId w:val="0"/>
              </w:numPr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改进措施及</w:t>
            </w:r>
          </w:p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结果应用方案</w:t>
            </w:r>
          </w:p>
        </w:tc>
        <w:tc>
          <w:tcPr>
            <w:tcW w:w="7568" w:type="dxa"/>
            <w:gridSpan w:val="8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无</w:t>
            </w:r>
          </w:p>
        </w:tc>
      </w:tr>
    </w:tbl>
    <w:p>
      <w:pPr>
        <w:pStyle w:val="2"/>
        <w:ind w:left="0" w:leftChars="0" w:firstLine="0" w:firstLineChars="0"/>
      </w:pPr>
      <w:r>
        <w:rPr>
          <w:rFonts w:ascii="仿宋_GB2312" w:hAnsi="宋体" w:eastAsia="仿宋_GB2312" w:cs="Times New Roman"/>
          <w:kern w:val="0"/>
        </w:rPr>
        <w:br w:type="page"/>
      </w:r>
    </w:p>
    <w:sectPr>
      <w:footerReference r:id="rId3" w:type="default"/>
      <w:pgSz w:w="11906" w:h="16838"/>
      <w:pgMar w:top="2098" w:right="1587" w:bottom="2098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left="420" w:leftChars="200" w:right="420" w:rightChars="200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13"/>
                  <w:ind w:left="420" w:leftChars="200" w:right="420" w:rightChars="200"/>
                </w:pPr>
                <w:r>
                  <w:rPr>
                    <w:rFonts w:hint="eastAsia" w:ascii="Times New Roman" w:hAnsi="Times New Roman" w:eastAsia="仿宋_GB2312" w:cs="仿宋_GB2312"/>
                    <w:sz w:val="28"/>
                    <w:szCs w:val="28"/>
                  </w:rPr>
                  <w:t xml:space="preserve">— </w:t>
                </w:r>
                <w:r>
                  <w:rPr>
                    <w:rFonts w:ascii="Times New Roman" w:hAnsi="Times New Roman" w:eastAsia="仿宋_GB2312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eastAsia="仿宋_GB2312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Times New Roman" w:hAnsi="Times New Roman" w:eastAsia="仿宋_GB2312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 w:eastAsia="仿宋_GB2312"/>
                    <w:sz w:val="28"/>
                    <w:szCs w:val="28"/>
                  </w:rPr>
                  <w:t>1</w:t>
                </w:r>
                <w:r>
                  <w:rPr>
                    <w:rFonts w:ascii="Times New Roman" w:hAnsi="Times New Roman" w:eastAsia="仿宋_GB2312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Times New Roman" w:hAnsi="Times New Roman" w:eastAsia="仿宋_GB2312" w:cs="仿宋_GB2312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  <w:p>
    <w:pPr>
      <w:pStyle w:val="13"/>
      <w:ind w:right="360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936A7"/>
    <w:rsid w:val="00002503"/>
    <w:rsid w:val="00013B97"/>
    <w:rsid w:val="000315FD"/>
    <w:rsid w:val="000639B8"/>
    <w:rsid w:val="000675A3"/>
    <w:rsid w:val="00082E7B"/>
    <w:rsid w:val="00092618"/>
    <w:rsid w:val="000B599B"/>
    <w:rsid w:val="00122842"/>
    <w:rsid w:val="00135CAF"/>
    <w:rsid w:val="00207343"/>
    <w:rsid w:val="00213892"/>
    <w:rsid w:val="002645B9"/>
    <w:rsid w:val="002744D0"/>
    <w:rsid w:val="0029730F"/>
    <w:rsid w:val="002B315D"/>
    <w:rsid w:val="002D3079"/>
    <w:rsid w:val="002E6E21"/>
    <w:rsid w:val="00336E4C"/>
    <w:rsid w:val="004277E2"/>
    <w:rsid w:val="00454808"/>
    <w:rsid w:val="004B0542"/>
    <w:rsid w:val="004C70E3"/>
    <w:rsid w:val="004D5902"/>
    <w:rsid w:val="004F4681"/>
    <w:rsid w:val="0054044B"/>
    <w:rsid w:val="00543EF6"/>
    <w:rsid w:val="00552C91"/>
    <w:rsid w:val="00566763"/>
    <w:rsid w:val="005A1B6B"/>
    <w:rsid w:val="005A4D58"/>
    <w:rsid w:val="005D286B"/>
    <w:rsid w:val="005E12FD"/>
    <w:rsid w:val="006341ED"/>
    <w:rsid w:val="00650820"/>
    <w:rsid w:val="006936A7"/>
    <w:rsid w:val="006965E3"/>
    <w:rsid w:val="006A01AE"/>
    <w:rsid w:val="006A190B"/>
    <w:rsid w:val="006C7750"/>
    <w:rsid w:val="006F382A"/>
    <w:rsid w:val="00717A3F"/>
    <w:rsid w:val="007972B5"/>
    <w:rsid w:val="007D479B"/>
    <w:rsid w:val="007E4F58"/>
    <w:rsid w:val="00844644"/>
    <w:rsid w:val="008B5B64"/>
    <w:rsid w:val="008F435E"/>
    <w:rsid w:val="0090681D"/>
    <w:rsid w:val="009436AB"/>
    <w:rsid w:val="0097472F"/>
    <w:rsid w:val="00974E46"/>
    <w:rsid w:val="00A016A4"/>
    <w:rsid w:val="00A446FD"/>
    <w:rsid w:val="00A86BB1"/>
    <w:rsid w:val="00AF2DBF"/>
    <w:rsid w:val="00B06A06"/>
    <w:rsid w:val="00B93D14"/>
    <w:rsid w:val="00BD3CBE"/>
    <w:rsid w:val="00BF0274"/>
    <w:rsid w:val="00BF655F"/>
    <w:rsid w:val="00CA20FD"/>
    <w:rsid w:val="00CC3066"/>
    <w:rsid w:val="00CD0C8B"/>
    <w:rsid w:val="00CF49E5"/>
    <w:rsid w:val="00D049EC"/>
    <w:rsid w:val="00D54B62"/>
    <w:rsid w:val="00D67401"/>
    <w:rsid w:val="00D77CC0"/>
    <w:rsid w:val="00D844D8"/>
    <w:rsid w:val="00D97E5F"/>
    <w:rsid w:val="00DE353F"/>
    <w:rsid w:val="00E56204"/>
    <w:rsid w:val="00E7180D"/>
    <w:rsid w:val="00E91B84"/>
    <w:rsid w:val="00EA3101"/>
    <w:rsid w:val="00EB572F"/>
    <w:rsid w:val="00ED0793"/>
    <w:rsid w:val="00ED584C"/>
    <w:rsid w:val="00F0066A"/>
    <w:rsid w:val="00F15A98"/>
    <w:rsid w:val="00F570A0"/>
    <w:rsid w:val="00F84547"/>
    <w:rsid w:val="00FB21E4"/>
    <w:rsid w:val="03FB0DF4"/>
    <w:rsid w:val="071625ED"/>
    <w:rsid w:val="09022072"/>
    <w:rsid w:val="0A134498"/>
    <w:rsid w:val="0AF77CD9"/>
    <w:rsid w:val="0C4E5E32"/>
    <w:rsid w:val="0FF21991"/>
    <w:rsid w:val="1183057E"/>
    <w:rsid w:val="11F70135"/>
    <w:rsid w:val="14D0300D"/>
    <w:rsid w:val="1DFF1153"/>
    <w:rsid w:val="1E45F715"/>
    <w:rsid w:val="294D3BB6"/>
    <w:rsid w:val="29A80723"/>
    <w:rsid w:val="2C076F19"/>
    <w:rsid w:val="2C5E0D64"/>
    <w:rsid w:val="2DD04C0C"/>
    <w:rsid w:val="2FFF6606"/>
    <w:rsid w:val="33EA6FFA"/>
    <w:rsid w:val="350F7EFE"/>
    <w:rsid w:val="37FA5D06"/>
    <w:rsid w:val="39273355"/>
    <w:rsid w:val="3AC702FC"/>
    <w:rsid w:val="3B7C7729"/>
    <w:rsid w:val="3EF61413"/>
    <w:rsid w:val="41F23786"/>
    <w:rsid w:val="48370795"/>
    <w:rsid w:val="497A5F98"/>
    <w:rsid w:val="49D246CF"/>
    <w:rsid w:val="55AF2676"/>
    <w:rsid w:val="57B81486"/>
    <w:rsid w:val="58FD37D0"/>
    <w:rsid w:val="5B1E01CB"/>
    <w:rsid w:val="5B947ADC"/>
    <w:rsid w:val="5BE62C0B"/>
    <w:rsid w:val="5DC5496F"/>
    <w:rsid w:val="5DDD3D01"/>
    <w:rsid w:val="5F6F16D0"/>
    <w:rsid w:val="5FEFA8FC"/>
    <w:rsid w:val="629731A6"/>
    <w:rsid w:val="643503B4"/>
    <w:rsid w:val="669D1DFF"/>
    <w:rsid w:val="6A155836"/>
    <w:rsid w:val="6A502B2E"/>
    <w:rsid w:val="6A810D22"/>
    <w:rsid w:val="6BC849C4"/>
    <w:rsid w:val="6F224285"/>
    <w:rsid w:val="6F5E4911"/>
    <w:rsid w:val="6F8E6D95"/>
    <w:rsid w:val="6FBB76DD"/>
    <w:rsid w:val="6FCF2FC1"/>
    <w:rsid w:val="723A6C34"/>
    <w:rsid w:val="72DF11EB"/>
    <w:rsid w:val="730AC28C"/>
    <w:rsid w:val="7334084B"/>
    <w:rsid w:val="77478B0B"/>
    <w:rsid w:val="77AB8444"/>
    <w:rsid w:val="79005364"/>
    <w:rsid w:val="7A387873"/>
    <w:rsid w:val="7B317800"/>
    <w:rsid w:val="7BBEA400"/>
    <w:rsid w:val="7BFE6205"/>
    <w:rsid w:val="7E971056"/>
    <w:rsid w:val="7EEE1BFD"/>
    <w:rsid w:val="7EFFD495"/>
    <w:rsid w:val="7FDBA8AA"/>
    <w:rsid w:val="7FFBF816"/>
    <w:rsid w:val="7FFE0E52"/>
    <w:rsid w:val="7FFF74DF"/>
    <w:rsid w:val="93D7E7B7"/>
    <w:rsid w:val="9EBF8E48"/>
    <w:rsid w:val="B6ADA488"/>
    <w:rsid w:val="B6FF97CE"/>
    <w:rsid w:val="BFAF921E"/>
    <w:rsid w:val="BFE88B80"/>
    <w:rsid w:val="C12F551D"/>
    <w:rsid w:val="C9EFA0B2"/>
    <w:rsid w:val="EDEE1F9C"/>
    <w:rsid w:val="EDFB8E90"/>
    <w:rsid w:val="EE7C68C6"/>
    <w:rsid w:val="EFFBBD6C"/>
    <w:rsid w:val="F0EF97D1"/>
    <w:rsid w:val="F36C7C01"/>
    <w:rsid w:val="F8FA53B8"/>
    <w:rsid w:val="FBE2CC08"/>
    <w:rsid w:val="FF7F4AEB"/>
    <w:rsid w:val="FFFF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link w:val="25"/>
    <w:qFormat/>
    <w:uiPriority w:val="9"/>
    <w:pPr>
      <w:keepNext/>
      <w:keepLines/>
      <w:spacing w:before="240" w:after="120"/>
      <w:jc w:val="center"/>
      <w:outlineLvl w:val="0"/>
    </w:pPr>
    <w:rPr>
      <w:rFonts w:eastAsia="方正小标宋简体"/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26"/>
    <w:qFormat/>
    <w:uiPriority w:val="99"/>
    <w:pPr>
      <w:keepNext/>
      <w:keepLines/>
      <w:jc w:val="left"/>
      <w:outlineLvl w:val="1"/>
    </w:pPr>
    <w:rPr>
      <w:rFonts w:eastAsia="黑体"/>
      <w:b/>
      <w:bCs/>
      <w:kern w:val="0"/>
      <w:sz w:val="30"/>
      <w:szCs w:val="32"/>
    </w:rPr>
  </w:style>
  <w:style w:type="paragraph" w:styleId="6">
    <w:name w:val="heading 3"/>
    <w:basedOn w:val="1"/>
    <w:next w:val="1"/>
    <w:link w:val="27"/>
    <w:qFormat/>
    <w:uiPriority w:val="9"/>
    <w:pPr>
      <w:keepNext/>
      <w:keepLines/>
      <w:jc w:val="left"/>
      <w:outlineLvl w:val="2"/>
    </w:pPr>
    <w:rPr>
      <w:b/>
      <w:bCs/>
      <w:kern w:val="0"/>
      <w:szCs w:val="32"/>
    </w:rPr>
  </w:style>
  <w:style w:type="paragraph" w:styleId="7">
    <w:name w:val="heading 4"/>
    <w:basedOn w:val="1"/>
    <w:next w:val="1"/>
    <w:link w:val="28"/>
    <w:qFormat/>
    <w:uiPriority w:val="9"/>
    <w:pPr>
      <w:keepNext/>
      <w:keepLines/>
      <w:outlineLvl w:val="3"/>
    </w:pPr>
    <w:rPr>
      <w:b/>
      <w:bCs/>
      <w:szCs w:val="28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 w:afterLines="0" w:afterAutospacing="0"/>
      <w:ind w:left="420" w:leftChars="200"/>
    </w:pPr>
  </w:style>
  <w:style w:type="paragraph" w:styleId="8">
    <w:name w:val="annotation subject"/>
    <w:basedOn w:val="9"/>
    <w:next w:val="9"/>
    <w:link w:val="36"/>
    <w:semiHidden/>
    <w:qFormat/>
    <w:uiPriority w:val="99"/>
    <w:rPr>
      <w:b/>
      <w:bCs/>
    </w:rPr>
  </w:style>
  <w:style w:type="paragraph" w:styleId="9">
    <w:name w:val="annotation text"/>
    <w:basedOn w:val="1"/>
    <w:link w:val="29"/>
    <w:unhideWhenUsed/>
    <w:qFormat/>
    <w:uiPriority w:val="99"/>
    <w:pPr>
      <w:jc w:val="left"/>
    </w:pPr>
  </w:style>
  <w:style w:type="paragraph" w:styleId="10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1">
    <w:name w:val="Date"/>
    <w:basedOn w:val="1"/>
    <w:next w:val="1"/>
    <w:link w:val="37"/>
    <w:semiHidden/>
    <w:qFormat/>
    <w:uiPriority w:val="99"/>
    <w:pPr>
      <w:ind w:left="100" w:leftChars="2500"/>
    </w:pPr>
  </w:style>
  <w:style w:type="paragraph" w:styleId="12">
    <w:name w:val="Balloon Text"/>
    <w:basedOn w:val="1"/>
    <w:link w:val="38"/>
    <w:semiHidden/>
    <w:qFormat/>
    <w:uiPriority w:val="99"/>
    <w:rPr>
      <w:sz w:val="18"/>
      <w:szCs w:val="18"/>
    </w:rPr>
  </w:style>
  <w:style w:type="paragraph" w:styleId="13">
    <w:name w:val="footer"/>
    <w:basedOn w:val="1"/>
    <w:link w:val="3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4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  <w:pPr>
      <w:tabs>
        <w:tab w:val="right" w:leader="dot" w:pos="9060"/>
      </w:tabs>
      <w:spacing w:line="440" w:lineRule="exact"/>
    </w:pPr>
    <w:rPr>
      <w:rFonts w:eastAsia="黑体"/>
      <w:b/>
      <w:sz w:val="24"/>
    </w:rPr>
  </w:style>
  <w:style w:type="paragraph" w:styleId="16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7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Calibri"/>
      <w:kern w:val="0"/>
      <w:sz w:val="24"/>
      <w:szCs w:val="24"/>
    </w:rPr>
  </w:style>
  <w:style w:type="character" w:styleId="19">
    <w:name w:val="Strong"/>
    <w:qFormat/>
    <w:uiPriority w:val="22"/>
    <w:rPr>
      <w:b/>
      <w:bCs/>
    </w:rPr>
  </w:style>
  <w:style w:type="character" w:styleId="20">
    <w:name w:val="page number"/>
    <w:basedOn w:val="18"/>
    <w:qFormat/>
    <w:uiPriority w:val="99"/>
  </w:style>
  <w:style w:type="character" w:styleId="21">
    <w:name w:val="FollowedHyperlink"/>
    <w:semiHidden/>
    <w:qFormat/>
    <w:uiPriority w:val="99"/>
    <w:rPr>
      <w:color w:val="800080"/>
      <w:u w:val="single"/>
    </w:rPr>
  </w:style>
  <w:style w:type="character" w:styleId="22">
    <w:name w:val="Hyperlink"/>
    <w:qFormat/>
    <w:uiPriority w:val="99"/>
    <w:rPr>
      <w:color w:val="0000FF"/>
      <w:u w:val="single"/>
    </w:rPr>
  </w:style>
  <w:style w:type="character" w:styleId="23">
    <w:name w:val="annotation reference"/>
    <w:unhideWhenUsed/>
    <w:qFormat/>
    <w:uiPriority w:val="99"/>
    <w:rPr>
      <w:sz w:val="21"/>
      <w:szCs w:val="21"/>
    </w:rPr>
  </w:style>
  <w:style w:type="character" w:customStyle="1" w:styleId="25">
    <w:name w:val="标题 1 Char"/>
    <w:link w:val="4"/>
    <w:qFormat/>
    <w:uiPriority w:val="9"/>
    <w:rPr>
      <w:rFonts w:ascii="Times New Roman" w:hAnsi="Times New Roman" w:eastAsia="方正小标宋简体"/>
      <w:b/>
      <w:bCs/>
      <w:kern w:val="44"/>
      <w:sz w:val="44"/>
      <w:szCs w:val="44"/>
    </w:rPr>
  </w:style>
  <w:style w:type="character" w:customStyle="1" w:styleId="26">
    <w:name w:val="标题 2 Char"/>
    <w:link w:val="5"/>
    <w:qFormat/>
    <w:uiPriority w:val="9"/>
    <w:rPr>
      <w:rFonts w:ascii="Times New Roman" w:hAnsi="Times New Roman" w:eastAsia="黑体"/>
      <w:b/>
      <w:bCs/>
      <w:sz w:val="30"/>
      <w:szCs w:val="32"/>
    </w:rPr>
  </w:style>
  <w:style w:type="character" w:customStyle="1" w:styleId="27">
    <w:name w:val="标题 3 Char"/>
    <w:link w:val="6"/>
    <w:qFormat/>
    <w:uiPriority w:val="9"/>
    <w:rPr>
      <w:rFonts w:ascii="Times New Roman" w:hAnsi="Times New Roman" w:eastAsia="仿宋_GB2312"/>
      <w:b/>
      <w:bCs/>
      <w:sz w:val="28"/>
      <w:szCs w:val="32"/>
    </w:rPr>
  </w:style>
  <w:style w:type="character" w:customStyle="1" w:styleId="28">
    <w:name w:val="标题 4 Char"/>
    <w:link w:val="7"/>
    <w:qFormat/>
    <w:uiPriority w:val="9"/>
    <w:rPr>
      <w:rFonts w:ascii="Times New Roman" w:hAnsi="Times New Roman" w:eastAsia="仿宋_GB2312"/>
      <w:b/>
      <w:bCs/>
      <w:kern w:val="2"/>
      <w:sz w:val="28"/>
      <w:szCs w:val="28"/>
    </w:rPr>
  </w:style>
  <w:style w:type="character" w:customStyle="1" w:styleId="29">
    <w:name w:val="批注文字 Char"/>
    <w:link w:val="9"/>
    <w:qFormat/>
    <w:uiPriority w:val="99"/>
    <w:rPr>
      <w:rFonts w:ascii="Times New Roman" w:hAnsi="Times New Roman" w:eastAsia="仿宋_GB2312"/>
      <w:kern w:val="2"/>
      <w:sz w:val="28"/>
      <w:szCs w:val="24"/>
    </w:rPr>
  </w:style>
  <w:style w:type="paragraph" w:styleId="30">
    <w:name w:val="No Spacing"/>
    <w:qFormat/>
    <w:uiPriority w:val="1"/>
    <w:pPr>
      <w:widowControl w:val="0"/>
      <w:topLinePunct/>
      <w:ind w:firstLine="200" w:firstLineChars="200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paragraph" w:styleId="31">
    <w:name w:val="List Paragraph"/>
    <w:basedOn w:val="1"/>
    <w:qFormat/>
    <w:uiPriority w:val="99"/>
    <w:pPr>
      <w:ind w:firstLine="420"/>
    </w:pPr>
  </w:style>
  <w:style w:type="paragraph" w:customStyle="1" w:styleId="32">
    <w:name w:val="TOC Heading"/>
    <w:basedOn w:val="4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/>
      <w:color w:val="365F91"/>
      <w:kern w:val="0"/>
      <w:sz w:val="28"/>
      <w:szCs w:val="28"/>
    </w:rPr>
  </w:style>
  <w:style w:type="paragraph" w:customStyle="1" w:styleId="33">
    <w:name w:val="目录 31"/>
    <w:basedOn w:val="1"/>
    <w:next w:val="1"/>
    <w:unhideWhenUsed/>
    <w:qFormat/>
    <w:uiPriority w:val="39"/>
    <w:pPr>
      <w:ind w:left="560"/>
      <w:jc w:val="left"/>
    </w:pPr>
    <w:rPr>
      <w:rFonts w:ascii="Calibri" w:hAnsi="Calibri" w:cs="Calibri"/>
      <w:i/>
      <w:iCs/>
      <w:sz w:val="20"/>
      <w:szCs w:val="20"/>
    </w:rPr>
  </w:style>
  <w:style w:type="paragraph" w:customStyle="1" w:styleId="34">
    <w:name w:val="目录 11"/>
    <w:basedOn w:val="1"/>
    <w:next w:val="1"/>
    <w:unhideWhenUsed/>
    <w:qFormat/>
    <w:uiPriority w:val="39"/>
    <w:pPr>
      <w:spacing w:before="120" w:after="120"/>
      <w:jc w:val="left"/>
    </w:pPr>
    <w:rPr>
      <w:rFonts w:ascii="Calibri" w:hAnsi="Calibri" w:cs="Calibri"/>
      <w:b/>
      <w:bCs/>
      <w:caps/>
      <w:sz w:val="20"/>
      <w:szCs w:val="20"/>
    </w:rPr>
  </w:style>
  <w:style w:type="paragraph" w:customStyle="1" w:styleId="35">
    <w:name w:val="目录 21"/>
    <w:basedOn w:val="1"/>
    <w:next w:val="1"/>
    <w:unhideWhenUsed/>
    <w:qFormat/>
    <w:uiPriority w:val="39"/>
    <w:pPr>
      <w:ind w:left="280"/>
      <w:jc w:val="left"/>
    </w:pPr>
    <w:rPr>
      <w:rFonts w:ascii="Calibri" w:hAnsi="Calibri" w:cs="Calibri"/>
      <w:smallCaps/>
      <w:sz w:val="20"/>
      <w:szCs w:val="20"/>
    </w:rPr>
  </w:style>
  <w:style w:type="character" w:customStyle="1" w:styleId="36">
    <w:name w:val="批注主题 Char"/>
    <w:basedOn w:val="29"/>
    <w:link w:val="8"/>
    <w:semiHidden/>
    <w:qFormat/>
    <w:uiPriority w:val="99"/>
    <w:rPr>
      <w:rFonts w:ascii="等线" w:hAnsi="等线" w:eastAsia="等线" w:cs="等线"/>
      <w:b/>
      <w:bCs/>
      <w:sz w:val="21"/>
      <w:szCs w:val="21"/>
    </w:rPr>
  </w:style>
  <w:style w:type="character" w:customStyle="1" w:styleId="37">
    <w:name w:val="日期 Char"/>
    <w:basedOn w:val="18"/>
    <w:link w:val="11"/>
    <w:semiHidden/>
    <w:qFormat/>
    <w:uiPriority w:val="99"/>
    <w:rPr>
      <w:rFonts w:ascii="等线" w:hAnsi="等线" w:eastAsia="等线" w:cs="等线"/>
      <w:kern w:val="2"/>
      <w:sz w:val="21"/>
      <w:szCs w:val="21"/>
    </w:rPr>
  </w:style>
  <w:style w:type="character" w:customStyle="1" w:styleId="38">
    <w:name w:val="批注框文本 Char"/>
    <w:basedOn w:val="18"/>
    <w:link w:val="12"/>
    <w:semiHidden/>
    <w:qFormat/>
    <w:uiPriority w:val="99"/>
    <w:rPr>
      <w:rFonts w:ascii="等线" w:hAnsi="等线" w:eastAsia="等线" w:cs="等线"/>
      <w:kern w:val="2"/>
      <w:sz w:val="18"/>
      <w:szCs w:val="18"/>
    </w:rPr>
  </w:style>
  <w:style w:type="character" w:customStyle="1" w:styleId="39">
    <w:name w:val="页脚 Char"/>
    <w:basedOn w:val="18"/>
    <w:link w:val="13"/>
    <w:qFormat/>
    <w:uiPriority w:val="99"/>
    <w:rPr>
      <w:rFonts w:ascii="等线" w:hAnsi="等线" w:eastAsia="等线" w:cs="等线"/>
      <w:kern w:val="2"/>
      <w:sz w:val="18"/>
      <w:szCs w:val="18"/>
    </w:rPr>
  </w:style>
  <w:style w:type="character" w:customStyle="1" w:styleId="40">
    <w:name w:val="页眉 Char"/>
    <w:basedOn w:val="18"/>
    <w:link w:val="14"/>
    <w:qFormat/>
    <w:uiPriority w:val="99"/>
    <w:rPr>
      <w:rFonts w:ascii="等线" w:hAnsi="等线" w:eastAsia="等线" w:cs="等线"/>
      <w:kern w:val="2"/>
      <w:sz w:val="18"/>
      <w:szCs w:val="18"/>
    </w:rPr>
  </w:style>
  <w:style w:type="paragraph" w:customStyle="1" w:styleId="41">
    <w:name w:val="msonormal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2">
    <w:name w:val="xl77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0"/>
      <w:szCs w:val="20"/>
    </w:rPr>
  </w:style>
  <w:style w:type="paragraph" w:customStyle="1" w:styleId="43">
    <w:name w:val="xl78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4">
    <w:name w:val="xl7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C0"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5">
    <w:name w:val="xl8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FF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6">
    <w:name w:val="xl8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7">
    <w:name w:val="xl8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FF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8">
    <w:name w:val="xl8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9">
    <w:name w:val="xl84"/>
    <w:basedOn w:val="1"/>
    <w:qFormat/>
    <w:uiPriority w:val="99"/>
    <w:pPr>
      <w:widowControl/>
      <w:pBdr>
        <w:lef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0">
    <w:name w:val="xl8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FF"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1">
    <w:name w:val="xl8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2">
    <w:name w:val="xl8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3">
    <w:name w:val="xl8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4">
    <w:name w:val="xl8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FF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5">
    <w:name w:val="xl9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6">
    <w:name w:val="xl91"/>
    <w:basedOn w:val="1"/>
    <w:qFormat/>
    <w:uiPriority w:val="99"/>
    <w:pPr>
      <w:widowControl/>
      <w:pBdr>
        <w:top w:val="single" w:color="auto" w:sz="4" w:space="0"/>
        <w:lef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7">
    <w:name w:val="xl9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8">
    <w:name w:val="xl93"/>
    <w:basedOn w:val="1"/>
    <w:qFormat/>
    <w:uiPriority w:val="99"/>
    <w:pPr>
      <w:widowControl/>
      <w:pBdr>
        <w:top w:val="single" w:color="auto" w:sz="4" w:space="0"/>
        <w:lef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9">
    <w:name w:val="xl9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0">
    <w:name w:val="xl95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1">
    <w:name w:val="xl96"/>
    <w:basedOn w:val="1"/>
    <w:qFormat/>
    <w:uiPriority w:val="99"/>
    <w:pPr>
      <w:widowControl/>
      <w:pBdr>
        <w:left w:val="single" w:color="auto" w:sz="4" w:space="0"/>
        <w:bottom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2">
    <w:name w:val="xl97"/>
    <w:basedOn w:val="1"/>
    <w:qFormat/>
    <w:uiPriority w:val="99"/>
    <w:pPr>
      <w:widowControl/>
      <w:pBdr>
        <w:left w:val="single" w:color="auto" w:sz="4" w:space="0"/>
        <w:bottom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3">
    <w:name w:val="xl98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4">
    <w:name w:val="xl99"/>
    <w:basedOn w:val="1"/>
    <w:qFormat/>
    <w:uiPriority w:val="99"/>
    <w:pPr>
      <w:widowControl/>
      <w:pBdr>
        <w:left w:val="single" w:color="auto" w:sz="4" w:space="0"/>
        <w:righ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5">
    <w:name w:val="xl10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6">
    <w:name w:val="抄 送"/>
    <w:basedOn w:val="1"/>
    <w:qFormat/>
    <w:uiPriority w:val="0"/>
    <w:pPr>
      <w:framePr w:wrap="notBeside" w:vAnchor="margin" w:hAnchor="margin" w:yAlign="bottom"/>
    </w:pPr>
    <w:rPr>
      <w:rFonts w:ascii="Calibri" w:hAnsi="Calibri" w:eastAsia="仿宋_GB2312" w:cs="Calibri"/>
      <w:sz w:val="32"/>
      <w:szCs w:val="32"/>
    </w:rPr>
  </w:style>
  <w:style w:type="paragraph" w:customStyle="1" w:styleId="67">
    <w:name w:val="xl65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68">
    <w:name w:val="xl6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69">
    <w:name w:val="xl6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70">
    <w:name w:val="xl6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71">
    <w:name w:val="xl6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72">
    <w:name w:val="xl7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73">
    <w:name w:val="xl7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4">
    <w:name w:val="xl7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5">
    <w:name w:val="xl7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76">
    <w:name w:val="xl7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16"/>
      <w:szCs w:val="16"/>
    </w:rPr>
  </w:style>
  <w:style w:type="paragraph" w:customStyle="1" w:styleId="77">
    <w:name w:val="xl75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0"/>
      <w:szCs w:val="20"/>
    </w:rPr>
  </w:style>
  <w:style w:type="paragraph" w:customStyle="1" w:styleId="78">
    <w:name w:val="xl7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0"/>
      <w:szCs w:val="20"/>
    </w:rPr>
  </w:style>
  <w:style w:type="paragraph" w:customStyle="1" w:styleId="79">
    <w:name w:val="列出段落1"/>
    <w:basedOn w:val="1"/>
    <w:qFormat/>
    <w:uiPriority w:val="99"/>
    <w:pPr>
      <w:ind w:firstLine="420" w:firstLineChars="200"/>
    </w:pPr>
    <w:rPr>
      <w:rFonts w:ascii="Calibri" w:hAnsi="Calibri" w:eastAsia="宋体" w:cs="Calibri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8</Pages>
  <Words>2074</Words>
  <Characters>11825</Characters>
  <Lines>98</Lines>
  <Paragraphs>27</Paragraphs>
  <TotalTime>2</TotalTime>
  <ScaleCrop>false</ScaleCrop>
  <LinksUpToDate>false</LinksUpToDate>
  <CharactersWithSpaces>13872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2020-08-18T09:04:00Z</dcterms:created>
  <dc:creator>微软用户</dc:creator>
  <cp:lastModifiedBy>dell</cp:lastModifiedBy>
  <cp:lastPrinted>2026-02-11T14:47:00Z</cp:lastPrinted>
  <dcterms:modified xsi:type="dcterms:W3CDTF">2026-09-07T03:17:15Z</dcterms:modified>
  <cp:revision>418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9AF0FA48423D00B3B9817169CBEBB6FD_42</vt:lpwstr>
  </property>
</Properties>
</file>