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卫生健康专项</w:t>
      </w:r>
    </w:p>
    <w:p>
      <w:pPr>
        <w:widowControl/>
        <w:ind w:firstLine="880" w:firstLineChars="200"/>
        <w:jc w:val="center"/>
        <w:rPr>
          <w:rFonts w:ascii="方正小标宋简体" w:hAnsi="宋体" w:eastAsia="方正小标宋简体" w:cs="Times New Roman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-公立医院改革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项目绩效自评表</w:t>
      </w:r>
    </w:p>
    <w:p>
      <w:pPr>
        <w:rPr>
          <w:rFonts w:cs="Times New Roman"/>
        </w:rPr>
      </w:pPr>
    </w:p>
    <w:p>
      <w:pPr>
        <w:widowControl/>
        <w:jc w:val="left"/>
        <w:rPr>
          <w:rFonts w:hint="default" w:ascii="楷体_GB2312" w:hAnsi="黑体" w:eastAsia="楷体_GB2312" w:cs="Times New Roman"/>
          <w:kern w:val="0"/>
          <w:sz w:val="48"/>
          <w:szCs w:val="48"/>
          <w:lang w:val="en-US" w:eastAsia="zh-CN"/>
        </w:rPr>
      </w:pPr>
      <w:r>
        <w:rPr>
          <w:rFonts w:hint="eastAsia" w:ascii="楷体_GB2312" w:hAnsi="仿宋" w:eastAsia="楷体_GB2312" w:cs="楷体_GB2312"/>
          <w:kern w:val="0"/>
          <w:sz w:val="28"/>
          <w:szCs w:val="28"/>
        </w:rPr>
        <w:t>单位名称：</w:t>
      </w:r>
      <w:r>
        <w:rPr>
          <w:rFonts w:hint="eastAsia" w:ascii="楷体_GB2312" w:hAnsi="仿宋" w:eastAsia="楷体_GB2312" w:cs="楷体_GB2312"/>
          <w:kern w:val="0"/>
          <w:sz w:val="28"/>
          <w:szCs w:val="28"/>
          <w:lang w:val="en-US" w:eastAsia="zh-CN"/>
        </w:rPr>
        <w:t>襄阳市结核病防治院</w:t>
      </w:r>
      <w:r>
        <w:rPr>
          <w:rFonts w:ascii="楷体_GB2312" w:hAnsi="仿宋" w:eastAsia="楷体_GB2312" w:cs="楷体_GB2312"/>
          <w:kern w:val="0"/>
          <w:sz w:val="28"/>
          <w:szCs w:val="28"/>
        </w:rPr>
        <w:t xml:space="preserve">      </w:t>
      </w:r>
      <w:r>
        <w:rPr>
          <w:rFonts w:hint="eastAsia" w:ascii="楷体_GB2312" w:hAnsi="仿宋" w:eastAsia="楷体_GB2312" w:cs="楷体_GB2312"/>
          <w:kern w:val="0"/>
          <w:sz w:val="28"/>
          <w:szCs w:val="28"/>
        </w:rPr>
        <w:t>填报日期：</w:t>
      </w:r>
      <w:r>
        <w:rPr>
          <w:rFonts w:hint="eastAsia" w:ascii="楷体_GB2312" w:hAnsi="仿宋" w:eastAsia="楷体_GB2312" w:cs="楷体_GB2312"/>
          <w:kern w:val="0"/>
          <w:sz w:val="28"/>
          <w:szCs w:val="28"/>
          <w:lang w:val="en-US" w:eastAsia="zh-CN"/>
        </w:rPr>
        <w:t>2026年3月11日</w:t>
      </w:r>
    </w:p>
    <w:tbl>
      <w:tblPr>
        <w:tblStyle w:val="24"/>
        <w:tblW w:w="894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700"/>
        <w:gridCol w:w="1122"/>
        <w:gridCol w:w="1319"/>
        <w:gridCol w:w="669"/>
        <w:gridCol w:w="648"/>
        <w:gridCol w:w="918"/>
        <w:gridCol w:w="548"/>
        <w:gridCol w:w="1319"/>
        <w:gridCol w:w="8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项目名称</w:t>
            </w:r>
          </w:p>
        </w:tc>
        <w:tc>
          <w:tcPr>
            <w:tcW w:w="7420" w:type="dxa"/>
            <w:gridSpan w:val="8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卫生健康专项-公立医院改革（取消药品加成）</w:t>
            </w:r>
            <w:r>
              <w:rPr>
                <w:rFonts w:hint="eastAsia" w:ascii="仿宋_GB2312" w:hAnsi="宋体" w:eastAsia="仿宋_GB2312" w:cs="仿宋_GB2312"/>
                <w:kern w:val="0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主管部门</w:t>
            </w:r>
          </w:p>
        </w:tc>
        <w:tc>
          <w:tcPr>
            <w:tcW w:w="3110" w:type="dxa"/>
            <w:gridSpan w:val="3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襄阳市卫生健康委员会</w:t>
            </w:r>
          </w:p>
        </w:tc>
        <w:tc>
          <w:tcPr>
            <w:tcW w:w="156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项目实施单位</w:t>
            </w:r>
          </w:p>
        </w:tc>
        <w:tc>
          <w:tcPr>
            <w:tcW w:w="2744" w:type="dxa"/>
            <w:gridSpan w:val="3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val="en-US" w:eastAsia="zh-CN"/>
              </w:rPr>
              <w:t>襄阳市结核病防治院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项目类别</w:t>
            </w:r>
          </w:p>
        </w:tc>
        <w:tc>
          <w:tcPr>
            <w:tcW w:w="7420" w:type="dxa"/>
            <w:gridSpan w:val="8"/>
            <w:vAlign w:val="center"/>
          </w:tcPr>
          <w:p>
            <w:pPr>
              <w:widowControl/>
              <w:numPr>
                <w:ilvl w:val="0"/>
                <w:numId w:val="0"/>
              </w:numPr>
              <w:snapToGrid w:val="0"/>
              <w:ind w:left="0" w:leftChars="0" w:firstLine="0" w:firstLineChars="0"/>
              <w:jc w:val="left"/>
              <w:rPr>
                <w:rFonts w:ascii="仿宋_GB2312" w:hAnsi="宋体" w:eastAsia="仿宋_GB2312" w:cs="Times New Roman"/>
                <w:color w:val="auto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1.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</w:rPr>
              <w:t>部门预算项目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eastAsia="zh-CN"/>
              </w:rPr>
              <w:t>☑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 xml:space="preserve">  2.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eastAsia="zh-CN"/>
              </w:rPr>
              <w:t>政府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</w:rPr>
              <w:t>专项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eastAsia="zh-CN"/>
              </w:rPr>
              <w:t>□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 xml:space="preserve">  3.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eastAsia="zh-CN"/>
              </w:rPr>
              <w:t>政府投资项目□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 xml:space="preserve">  4.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eastAsia="zh-CN"/>
              </w:rPr>
              <w:t>市对下转移支付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项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eastAsia="zh-CN"/>
              </w:rPr>
              <w:t>□　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  <w:lang w:val="en-US" w:eastAsia="zh-CN"/>
              </w:rPr>
              <w:t>5.具有特定用途和具体使用目标的共同事权类一般性转移支付</w:t>
            </w:r>
            <w:r>
              <w:rPr>
                <w:rFonts w:hint="eastAsia" w:ascii="仿宋_GB2312" w:hAnsi="宋体" w:eastAsia="仿宋_GB2312" w:cs="仿宋_GB2312"/>
                <w:color w:val="auto"/>
                <w:kern w:val="0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项目属性</w:t>
            </w:r>
          </w:p>
        </w:tc>
        <w:tc>
          <w:tcPr>
            <w:tcW w:w="7420" w:type="dxa"/>
            <w:gridSpan w:val="8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ascii="仿宋_GB2312" w:hAnsi="宋体" w:eastAsia="仿宋_GB2312" w:cs="仿宋_GB2312"/>
                <w:kern w:val="0"/>
              </w:rPr>
              <w:t>1</w:t>
            </w:r>
            <w:r>
              <w:rPr>
                <w:rFonts w:hint="eastAsia" w:ascii="仿宋_GB2312" w:hAnsi="宋体" w:eastAsia="仿宋_GB2312" w:cs="仿宋_GB2312"/>
                <w:kern w:val="0"/>
              </w:rPr>
              <w:t>、持续性项目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    </w:t>
            </w: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☑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  2</w:t>
            </w:r>
            <w:r>
              <w:rPr>
                <w:rFonts w:hint="eastAsia" w:ascii="仿宋_GB2312" w:hAnsi="宋体" w:eastAsia="仿宋_GB2312" w:cs="仿宋_GB2312"/>
                <w:kern w:val="0"/>
              </w:rPr>
              <w:t>、新增性项目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</w:rPr>
              <w:t>□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项目类型</w:t>
            </w:r>
          </w:p>
        </w:tc>
        <w:tc>
          <w:tcPr>
            <w:tcW w:w="7420" w:type="dxa"/>
            <w:gridSpan w:val="8"/>
            <w:vAlign w:val="center"/>
          </w:tcPr>
          <w:p>
            <w:pPr>
              <w:widowControl/>
              <w:snapToGrid w:val="0"/>
              <w:jc w:val="left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ascii="仿宋_GB2312" w:hAnsi="宋体" w:eastAsia="仿宋_GB2312" w:cs="仿宋_GB2312"/>
                <w:kern w:val="0"/>
              </w:rPr>
              <w:t>1</w:t>
            </w:r>
            <w:r>
              <w:rPr>
                <w:rFonts w:hint="eastAsia" w:ascii="仿宋_GB2312" w:hAnsi="宋体" w:eastAsia="仿宋_GB2312" w:cs="仿宋_GB2312"/>
                <w:kern w:val="0"/>
              </w:rPr>
              <w:t>、常年性项目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    </w:t>
            </w: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☑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  2</w:t>
            </w:r>
            <w:r>
              <w:rPr>
                <w:rFonts w:hint="eastAsia" w:ascii="仿宋_GB2312" w:hAnsi="宋体" w:eastAsia="仿宋_GB2312" w:cs="仿宋_GB2312"/>
                <w:kern w:val="0"/>
              </w:rPr>
              <w:t>、延续性项目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</w:rPr>
              <w:t>□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     3</w:t>
            </w:r>
            <w:r>
              <w:rPr>
                <w:rFonts w:hint="eastAsia" w:ascii="仿宋_GB2312" w:hAnsi="宋体" w:eastAsia="仿宋_GB2312" w:cs="仿宋_GB2312"/>
                <w:kern w:val="0"/>
              </w:rPr>
              <w:t>、一次性项目</w:t>
            </w:r>
            <w:r>
              <w:rPr>
                <w:rFonts w:ascii="仿宋_GB2312" w:hAnsi="宋体" w:eastAsia="仿宋_GB2312" w:cs="仿宋_GB2312"/>
                <w:kern w:val="0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kern w:val="0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Merge w:val="restart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预算执行情况（万元）</w:t>
            </w:r>
          </w:p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（</w:t>
            </w:r>
            <w:r>
              <w:rPr>
                <w:rFonts w:ascii="仿宋_GB2312" w:hAnsi="宋体" w:eastAsia="仿宋_GB2312" w:cs="仿宋_GB2312"/>
                <w:kern w:val="0"/>
              </w:rPr>
              <w:t>20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分）</w:t>
            </w:r>
          </w:p>
        </w:tc>
        <w:tc>
          <w:tcPr>
            <w:tcW w:w="1122" w:type="dxa"/>
            <w:vMerge w:val="restart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年度财政资金总额</w:t>
            </w: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预算数（</w:t>
            </w:r>
            <w:r>
              <w:rPr>
                <w:rFonts w:ascii="仿宋_GB2312" w:hAnsi="宋体" w:eastAsia="仿宋_GB2312" w:cs="仿宋_GB2312"/>
                <w:kern w:val="0"/>
              </w:rPr>
              <w:t>A）</w:t>
            </w:r>
          </w:p>
        </w:tc>
        <w:tc>
          <w:tcPr>
            <w:tcW w:w="1317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执行数</w:t>
            </w:r>
            <w:r>
              <w:rPr>
                <w:rFonts w:ascii="仿宋_GB2312" w:hAnsi="宋体" w:eastAsia="仿宋_GB2312" w:cs="仿宋_GB2312"/>
                <w:kern w:val="0"/>
              </w:rPr>
              <w:t>（B）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执行率</w:t>
            </w:r>
            <w:r>
              <w:rPr>
                <w:rFonts w:ascii="仿宋_GB2312" w:hAnsi="宋体" w:eastAsia="仿宋_GB2312" w:cs="仿宋_GB2312"/>
                <w:kern w:val="0"/>
              </w:rPr>
              <w:t>（B/A）</w:t>
            </w:r>
          </w:p>
        </w:tc>
        <w:tc>
          <w:tcPr>
            <w:tcW w:w="219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得分</w:t>
            </w:r>
          </w:p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（</w:t>
            </w:r>
            <w:r>
              <w:rPr>
                <w:rFonts w:ascii="仿宋_GB2312" w:hAnsi="宋体" w:eastAsia="仿宋_GB2312" w:cs="仿宋_GB2312"/>
                <w:kern w:val="0"/>
              </w:rPr>
              <w:t>20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分</w:t>
            </w:r>
            <w:r>
              <w:rPr>
                <w:rFonts w:ascii="仿宋_GB2312" w:hAnsi="宋体" w:eastAsia="仿宋_GB2312" w:cs="仿宋_GB2312"/>
                <w:kern w:val="0"/>
              </w:rPr>
              <w:t>*</w:t>
            </w:r>
            <w:r>
              <w:rPr>
                <w:rFonts w:hint="eastAsia" w:ascii="仿宋_GB2312" w:hAnsi="宋体" w:eastAsia="仿宋_GB2312" w:cs="仿宋_GB2312"/>
                <w:kern w:val="0"/>
              </w:rPr>
              <w:t>执行率）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8" w:type="dxa"/>
            <w:gridSpan w:val="2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1122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10.09</w:t>
            </w:r>
          </w:p>
        </w:tc>
        <w:tc>
          <w:tcPr>
            <w:tcW w:w="1317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10.09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100%</w:t>
            </w:r>
          </w:p>
        </w:tc>
        <w:tc>
          <w:tcPr>
            <w:tcW w:w="219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Merge w:val="restart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bookmarkStart w:id="0" w:name="_GoBack" w:colFirst="1" w:colLast="6"/>
            <w:r>
              <w:rPr>
                <w:rFonts w:hint="eastAsia" w:ascii="仿宋_GB2312" w:hAnsi="宋体" w:eastAsia="仿宋_GB2312" w:cs="仿宋_GB2312"/>
                <w:kern w:val="0"/>
              </w:rPr>
              <w:t>年度绩效目标</w:t>
            </w:r>
            <w:r>
              <w:rPr>
                <w:rFonts w:ascii="仿宋_GB2312" w:hAnsi="宋体" w:eastAsia="仿宋_GB2312" w:cs="仿宋_GB2312"/>
                <w:kern w:val="0"/>
              </w:rPr>
              <w:t>1</w:t>
            </w:r>
          </w:p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（</w:t>
            </w:r>
            <w:r>
              <w:rPr>
                <w:rFonts w:ascii="仿宋_GB2312" w:hAnsi="宋体" w:eastAsia="仿宋_GB2312" w:cs="仿宋_GB2312"/>
                <w:kern w:val="0"/>
                <w:sz w:val="20"/>
                <w:szCs w:val="20"/>
              </w:rPr>
              <w:t>XX</w:t>
            </w:r>
            <w:r>
              <w:rPr>
                <w:rFonts w:hint="eastAsia" w:ascii="仿宋_GB2312" w:hAnsi="宋体" w:eastAsia="仿宋_GB2312" w:cs="仿宋_GB2312"/>
                <w:kern w:val="0"/>
              </w:rPr>
              <w:t>分）</w:t>
            </w:r>
          </w:p>
        </w:tc>
        <w:tc>
          <w:tcPr>
            <w:tcW w:w="700" w:type="dxa"/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一级指标</w:t>
            </w:r>
          </w:p>
        </w:tc>
        <w:tc>
          <w:tcPr>
            <w:tcW w:w="1122" w:type="dxa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二级指标</w:t>
            </w:r>
          </w:p>
        </w:tc>
        <w:tc>
          <w:tcPr>
            <w:tcW w:w="2636" w:type="dxa"/>
            <w:gridSpan w:val="3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三级指标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年初目标值（</w:t>
            </w:r>
            <w:r>
              <w:rPr>
                <w:rFonts w:ascii="仿宋_GB2312" w:hAnsi="宋体" w:eastAsia="仿宋_GB2312" w:cs="仿宋_GB2312"/>
                <w:kern w:val="0"/>
              </w:rPr>
              <w:t>A</w:t>
            </w:r>
            <w:r>
              <w:rPr>
                <w:rFonts w:hint="eastAsia" w:ascii="仿宋_GB2312" w:hAnsi="宋体" w:eastAsia="仿宋_GB2312" w:cs="仿宋_GB2312"/>
                <w:kern w:val="0"/>
              </w:rPr>
              <w:t>）</w:t>
            </w: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实际完成值（</w:t>
            </w:r>
            <w:r>
              <w:rPr>
                <w:rFonts w:ascii="仿宋_GB2312" w:hAnsi="宋体" w:eastAsia="仿宋_GB2312" w:cs="仿宋_GB2312"/>
                <w:kern w:val="0"/>
              </w:rPr>
              <w:t>B</w:t>
            </w:r>
            <w:r>
              <w:rPr>
                <w:rFonts w:hint="eastAsia" w:ascii="仿宋_GB2312" w:hAnsi="宋体" w:eastAsia="仿宋_GB2312" w:cs="仿宋_GB2312"/>
                <w:kern w:val="0"/>
              </w:rPr>
              <w:t>）</w:t>
            </w:r>
          </w:p>
        </w:tc>
        <w:tc>
          <w:tcPr>
            <w:tcW w:w="877" w:type="dxa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</w:rPr>
            </w:pPr>
          </w:p>
        </w:tc>
        <w:tc>
          <w:tcPr>
            <w:tcW w:w="700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lang w:eastAsia="zh-CN"/>
              </w:rPr>
              <w:t>成本指标</w:t>
            </w:r>
          </w:p>
        </w:tc>
        <w:tc>
          <w:tcPr>
            <w:tcW w:w="11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2636" w:type="dxa"/>
            <w:gridSpan w:val="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预算控制率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≤100%</w:t>
            </w: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  <w:t>100%</w:t>
            </w:r>
          </w:p>
        </w:tc>
        <w:tc>
          <w:tcPr>
            <w:tcW w:w="877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1"/>
                <w:szCs w:val="21"/>
                <w:lang w:val="en-US" w:eastAsia="zh-CN" w:bidi="ar-SA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700" w:type="dxa"/>
            <w:vMerge w:val="restart"/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产出指标</w:t>
            </w:r>
          </w:p>
        </w:tc>
        <w:tc>
          <w:tcPr>
            <w:tcW w:w="11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2636" w:type="dxa"/>
            <w:gridSpan w:val="3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Times New Roman"/>
                <w:kern w:val="0"/>
              </w:rPr>
              <w:t>药品收入占医疗收入（不含中药饮片）的比重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≤30%</w:t>
            </w: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54.39%</w:t>
            </w:r>
          </w:p>
        </w:tc>
        <w:tc>
          <w:tcPr>
            <w:tcW w:w="877" w:type="dxa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28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700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1122" w:type="dxa"/>
            <w:vMerge w:val="restart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Times New Roman"/>
                <w:kern w:val="0"/>
              </w:rPr>
              <w:t>质量指标</w:t>
            </w:r>
          </w:p>
        </w:tc>
        <w:tc>
          <w:tcPr>
            <w:tcW w:w="2636" w:type="dxa"/>
            <w:gridSpan w:val="3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Times New Roman"/>
                <w:kern w:val="0"/>
              </w:rPr>
              <w:t>药品加成率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＝0%</w:t>
            </w: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0%</w:t>
            </w:r>
          </w:p>
        </w:tc>
        <w:tc>
          <w:tcPr>
            <w:tcW w:w="877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28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700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1122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2636" w:type="dxa"/>
            <w:gridSpan w:val="3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Times New Roman"/>
                <w:kern w:val="0"/>
              </w:rPr>
              <w:t>药品质量合格率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100%</w:t>
            </w: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100%</w:t>
            </w:r>
          </w:p>
        </w:tc>
        <w:tc>
          <w:tcPr>
            <w:tcW w:w="877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828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700" w:type="dxa"/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效益指标</w:t>
            </w:r>
          </w:p>
        </w:tc>
        <w:tc>
          <w:tcPr>
            <w:tcW w:w="112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2636" w:type="dxa"/>
            <w:gridSpan w:val="3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Times New Roman"/>
                <w:kern w:val="0"/>
              </w:rPr>
              <w:t>降低病患就医成本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降低患者就医成本定性</w:t>
            </w:r>
          </w:p>
        </w:tc>
        <w:tc>
          <w:tcPr>
            <w:tcW w:w="131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降低患者就医成本定性</w:t>
            </w:r>
          </w:p>
        </w:tc>
        <w:tc>
          <w:tcPr>
            <w:tcW w:w="877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828" w:type="dxa"/>
            <w:vMerge w:val="continue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</w:p>
        </w:tc>
        <w:tc>
          <w:tcPr>
            <w:tcW w:w="700" w:type="dxa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Times New Roman"/>
                <w:kern w:val="0"/>
              </w:rPr>
              <w:t>满意度指标</w:t>
            </w:r>
          </w:p>
        </w:tc>
        <w:tc>
          <w:tcPr>
            <w:tcW w:w="1122" w:type="dxa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服务对象满意度</w:t>
            </w:r>
          </w:p>
        </w:tc>
        <w:tc>
          <w:tcPr>
            <w:tcW w:w="2636" w:type="dxa"/>
            <w:gridSpan w:val="3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Times New Roman"/>
                <w:kern w:val="0"/>
              </w:rPr>
              <w:t>患者满意度</w:t>
            </w:r>
          </w:p>
        </w:tc>
        <w:tc>
          <w:tcPr>
            <w:tcW w:w="1466" w:type="dxa"/>
            <w:gridSpan w:val="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≥95%</w:t>
            </w:r>
          </w:p>
        </w:tc>
        <w:tc>
          <w:tcPr>
            <w:tcW w:w="1319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98%</w:t>
            </w:r>
          </w:p>
        </w:tc>
        <w:tc>
          <w:tcPr>
            <w:tcW w:w="877" w:type="dxa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20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28" w:type="dxa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总分</w:t>
            </w:r>
          </w:p>
        </w:tc>
        <w:tc>
          <w:tcPr>
            <w:tcW w:w="8120" w:type="dxa"/>
            <w:gridSpan w:val="9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Times New Roman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  <w:jc w:val="center"/>
        </w:trPr>
        <w:tc>
          <w:tcPr>
            <w:tcW w:w="1528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偏差大或</w:t>
            </w:r>
          </w:p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目标未完成</w:t>
            </w:r>
          </w:p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原因分析</w:t>
            </w:r>
          </w:p>
        </w:tc>
        <w:tc>
          <w:tcPr>
            <w:tcW w:w="7420" w:type="dxa"/>
            <w:gridSpan w:val="8"/>
            <w:vAlign w:val="center"/>
          </w:tcPr>
          <w:p>
            <w:pPr>
              <w:widowControl/>
              <w:numPr>
                <w:ilvl w:val="0"/>
                <w:numId w:val="0"/>
              </w:numPr>
              <w:jc w:val="left"/>
              <w:rPr>
                <w:rFonts w:hint="eastAsia" w:ascii="仿宋_GB2312" w:hAnsi="宋体" w:eastAsia="仿宋_GB2312" w:cs="Times New Roman"/>
                <w:kern w:val="0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</w:rPr>
              <w:t>药品收入占医疗收入（不含中药饮片）的比重没有达标，原因是</w:t>
            </w: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结核病治疗主要是依靠药物治疗，造成药占比过高。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1" w:hRule="atLeast"/>
          <w:jc w:val="center"/>
        </w:trPr>
        <w:tc>
          <w:tcPr>
            <w:tcW w:w="1528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改进措施及</w:t>
            </w:r>
          </w:p>
          <w:p>
            <w:pPr>
              <w:widowControl/>
              <w:jc w:val="center"/>
              <w:rPr>
                <w:rFonts w:ascii="仿宋_GB2312" w:hAnsi="宋体" w:eastAsia="仿宋_GB2312" w:cs="Times New Roman"/>
                <w:kern w:val="0"/>
              </w:rPr>
            </w:pPr>
            <w:r>
              <w:rPr>
                <w:rFonts w:hint="eastAsia" w:ascii="仿宋_GB2312" w:hAnsi="宋体" w:eastAsia="仿宋_GB2312" w:cs="仿宋_GB2312"/>
                <w:kern w:val="0"/>
              </w:rPr>
              <w:t>结果应用方案</w:t>
            </w:r>
          </w:p>
        </w:tc>
        <w:tc>
          <w:tcPr>
            <w:tcW w:w="7420" w:type="dxa"/>
            <w:gridSpan w:val="8"/>
            <w:vAlign w:val="center"/>
          </w:tcPr>
          <w:p>
            <w:pPr>
              <w:widowControl/>
              <w:jc w:val="left"/>
              <w:rPr>
                <w:rFonts w:hint="eastAsia" w:ascii="仿宋_GB2312" w:hAnsi="宋体" w:eastAsia="仿宋_GB2312" w:cs="Times New Roman"/>
                <w:kern w:val="0"/>
                <w:lang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</w:rPr>
              <w:t>引导和激励各级</w:t>
            </w: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科室</w:t>
            </w:r>
            <w:r>
              <w:rPr>
                <w:rFonts w:hint="eastAsia" w:ascii="仿宋_GB2312" w:hAnsi="宋体" w:eastAsia="仿宋_GB2312" w:cs="Times New Roman"/>
                <w:kern w:val="0"/>
              </w:rPr>
              <w:t>提升服务收入占比</w:t>
            </w:r>
            <w:r>
              <w:rPr>
                <w:rFonts w:hint="eastAsia" w:ascii="仿宋_GB2312" w:hAnsi="宋体" w:eastAsia="仿宋_GB2312" w:cs="Times New Roman"/>
                <w:kern w:val="0"/>
                <w:lang w:eastAsia="zh-CN"/>
              </w:rPr>
              <w:t>。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ind w:right="360" w:firstLine="360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6A7"/>
    <w:rsid w:val="00002503"/>
    <w:rsid w:val="00013B97"/>
    <w:rsid w:val="000315FD"/>
    <w:rsid w:val="000639B8"/>
    <w:rsid w:val="000675A3"/>
    <w:rsid w:val="00082E7B"/>
    <w:rsid w:val="00092618"/>
    <w:rsid w:val="000B599B"/>
    <w:rsid w:val="00122842"/>
    <w:rsid w:val="00135CAF"/>
    <w:rsid w:val="00207343"/>
    <w:rsid w:val="00213892"/>
    <w:rsid w:val="002645B9"/>
    <w:rsid w:val="002744D0"/>
    <w:rsid w:val="0029730F"/>
    <w:rsid w:val="002B315D"/>
    <w:rsid w:val="002D3079"/>
    <w:rsid w:val="002E6E21"/>
    <w:rsid w:val="00336E4C"/>
    <w:rsid w:val="004277E2"/>
    <w:rsid w:val="00454808"/>
    <w:rsid w:val="004B0542"/>
    <w:rsid w:val="004C70E3"/>
    <w:rsid w:val="004D5902"/>
    <w:rsid w:val="004F4681"/>
    <w:rsid w:val="0054044B"/>
    <w:rsid w:val="00543EF6"/>
    <w:rsid w:val="00552C91"/>
    <w:rsid w:val="00563F7D"/>
    <w:rsid w:val="00566763"/>
    <w:rsid w:val="005A1B6B"/>
    <w:rsid w:val="005A4D58"/>
    <w:rsid w:val="005D286B"/>
    <w:rsid w:val="005E12FD"/>
    <w:rsid w:val="006341ED"/>
    <w:rsid w:val="00650820"/>
    <w:rsid w:val="006936A7"/>
    <w:rsid w:val="006965E3"/>
    <w:rsid w:val="006A01AE"/>
    <w:rsid w:val="006A190B"/>
    <w:rsid w:val="006C7750"/>
    <w:rsid w:val="006F382A"/>
    <w:rsid w:val="00717A3F"/>
    <w:rsid w:val="007972B5"/>
    <w:rsid w:val="007D479B"/>
    <w:rsid w:val="007E4F58"/>
    <w:rsid w:val="00844644"/>
    <w:rsid w:val="008B5B64"/>
    <w:rsid w:val="008F435E"/>
    <w:rsid w:val="0090681D"/>
    <w:rsid w:val="009436AB"/>
    <w:rsid w:val="0097472F"/>
    <w:rsid w:val="00974E46"/>
    <w:rsid w:val="00A016A4"/>
    <w:rsid w:val="00A446FD"/>
    <w:rsid w:val="00A86BB1"/>
    <w:rsid w:val="00AF2DBF"/>
    <w:rsid w:val="00B06A06"/>
    <w:rsid w:val="00B93D14"/>
    <w:rsid w:val="00BD3CBE"/>
    <w:rsid w:val="00BF0274"/>
    <w:rsid w:val="00BF655F"/>
    <w:rsid w:val="00CA20FD"/>
    <w:rsid w:val="00CC3066"/>
    <w:rsid w:val="00CD0C8B"/>
    <w:rsid w:val="00CF49E5"/>
    <w:rsid w:val="00D049EC"/>
    <w:rsid w:val="00D54B62"/>
    <w:rsid w:val="00D67401"/>
    <w:rsid w:val="00D77CC0"/>
    <w:rsid w:val="00D844D8"/>
    <w:rsid w:val="00D97E5F"/>
    <w:rsid w:val="00DE353F"/>
    <w:rsid w:val="00E56204"/>
    <w:rsid w:val="00E7180D"/>
    <w:rsid w:val="00E91B84"/>
    <w:rsid w:val="00EA3101"/>
    <w:rsid w:val="00EB572F"/>
    <w:rsid w:val="00ED0793"/>
    <w:rsid w:val="00ED584C"/>
    <w:rsid w:val="00F0066A"/>
    <w:rsid w:val="00F15A98"/>
    <w:rsid w:val="00F570A0"/>
    <w:rsid w:val="00F84547"/>
    <w:rsid w:val="00FB21E4"/>
    <w:rsid w:val="02A6164B"/>
    <w:rsid w:val="02D27F12"/>
    <w:rsid w:val="03FB0DF4"/>
    <w:rsid w:val="068D4605"/>
    <w:rsid w:val="07E172B3"/>
    <w:rsid w:val="08247335"/>
    <w:rsid w:val="0A87586F"/>
    <w:rsid w:val="0B33097E"/>
    <w:rsid w:val="0C4E5E32"/>
    <w:rsid w:val="0CBB7646"/>
    <w:rsid w:val="0EFF4CB3"/>
    <w:rsid w:val="0F4E3869"/>
    <w:rsid w:val="0FF21991"/>
    <w:rsid w:val="1183057E"/>
    <w:rsid w:val="14DB0E33"/>
    <w:rsid w:val="15D43678"/>
    <w:rsid w:val="18A22344"/>
    <w:rsid w:val="19BC04ED"/>
    <w:rsid w:val="1DFF1153"/>
    <w:rsid w:val="220739B9"/>
    <w:rsid w:val="23E05901"/>
    <w:rsid w:val="25B3473C"/>
    <w:rsid w:val="25CE460E"/>
    <w:rsid w:val="27AB3196"/>
    <w:rsid w:val="28662582"/>
    <w:rsid w:val="294D3BB6"/>
    <w:rsid w:val="29A80723"/>
    <w:rsid w:val="2C076F19"/>
    <w:rsid w:val="2FFF6606"/>
    <w:rsid w:val="31C600C4"/>
    <w:rsid w:val="323C2F76"/>
    <w:rsid w:val="3339197B"/>
    <w:rsid w:val="350F7EFE"/>
    <w:rsid w:val="354C2B8A"/>
    <w:rsid w:val="35C43E97"/>
    <w:rsid w:val="35C9762D"/>
    <w:rsid w:val="39273355"/>
    <w:rsid w:val="3AC702FC"/>
    <w:rsid w:val="3B8F6BD8"/>
    <w:rsid w:val="3E66223C"/>
    <w:rsid w:val="400E2368"/>
    <w:rsid w:val="4052470D"/>
    <w:rsid w:val="407F499F"/>
    <w:rsid w:val="44544DD2"/>
    <w:rsid w:val="46D41DAB"/>
    <w:rsid w:val="47581ADB"/>
    <w:rsid w:val="497A5F98"/>
    <w:rsid w:val="49C13770"/>
    <w:rsid w:val="49D246CF"/>
    <w:rsid w:val="4A876039"/>
    <w:rsid w:val="53CF125C"/>
    <w:rsid w:val="55AF2676"/>
    <w:rsid w:val="564A27C9"/>
    <w:rsid w:val="57B81486"/>
    <w:rsid w:val="58FD37D0"/>
    <w:rsid w:val="59661CC1"/>
    <w:rsid w:val="5B1E01CB"/>
    <w:rsid w:val="5B691D79"/>
    <w:rsid w:val="5BC57E15"/>
    <w:rsid w:val="5BE62C0B"/>
    <w:rsid w:val="5C0D1D52"/>
    <w:rsid w:val="5C7107C3"/>
    <w:rsid w:val="5DD03341"/>
    <w:rsid w:val="5F6F16D0"/>
    <w:rsid w:val="5FEFA8FC"/>
    <w:rsid w:val="6606551D"/>
    <w:rsid w:val="6A155836"/>
    <w:rsid w:val="6B6F109E"/>
    <w:rsid w:val="6BC849C4"/>
    <w:rsid w:val="6DEB19BD"/>
    <w:rsid w:val="6F02767B"/>
    <w:rsid w:val="6F5E4911"/>
    <w:rsid w:val="6FCF2FC1"/>
    <w:rsid w:val="719C5F0C"/>
    <w:rsid w:val="723A6C34"/>
    <w:rsid w:val="72B578FF"/>
    <w:rsid w:val="7334084B"/>
    <w:rsid w:val="75596882"/>
    <w:rsid w:val="764712E4"/>
    <w:rsid w:val="76827FEC"/>
    <w:rsid w:val="77478B0B"/>
    <w:rsid w:val="7852685D"/>
    <w:rsid w:val="7B317800"/>
    <w:rsid w:val="7BFE6205"/>
    <w:rsid w:val="7DE631D7"/>
    <w:rsid w:val="7EFFD495"/>
    <w:rsid w:val="7FFE0E52"/>
    <w:rsid w:val="7FFF74DF"/>
    <w:rsid w:val="B6FF97CE"/>
    <w:rsid w:val="BFAF921E"/>
    <w:rsid w:val="C12F551D"/>
    <w:rsid w:val="EDFB8E90"/>
    <w:rsid w:val="EFFBBD6C"/>
    <w:rsid w:val="F36C7C01"/>
    <w:rsid w:val="FBE2CC08"/>
    <w:rsid w:val="FF7F4AEB"/>
    <w:rsid w:val="FFFF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name="Date"/>
    <w:lsdException w:uiPriority="99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link w:val="25"/>
    <w:qFormat/>
    <w:uiPriority w:val="9"/>
    <w:pPr>
      <w:keepNext/>
      <w:keepLines/>
      <w:spacing w:before="240" w:after="120"/>
      <w:jc w:val="center"/>
      <w:outlineLvl w:val="0"/>
    </w:pPr>
    <w:rPr>
      <w:rFonts w:eastAsia="方正小标宋简体"/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26"/>
    <w:qFormat/>
    <w:uiPriority w:val="99"/>
    <w:pPr>
      <w:keepNext/>
      <w:keepLines/>
      <w:jc w:val="left"/>
      <w:outlineLvl w:val="1"/>
    </w:pPr>
    <w:rPr>
      <w:rFonts w:eastAsia="黑体"/>
      <w:b/>
      <w:bCs/>
      <w:kern w:val="0"/>
      <w:sz w:val="30"/>
      <w:szCs w:val="32"/>
    </w:rPr>
  </w:style>
  <w:style w:type="paragraph" w:styleId="6">
    <w:name w:val="heading 3"/>
    <w:basedOn w:val="1"/>
    <w:next w:val="1"/>
    <w:link w:val="27"/>
    <w:qFormat/>
    <w:uiPriority w:val="9"/>
    <w:pPr>
      <w:keepNext/>
      <w:keepLines/>
      <w:jc w:val="left"/>
      <w:outlineLvl w:val="2"/>
    </w:pPr>
    <w:rPr>
      <w:b/>
      <w:bCs/>
      <w:kern w:val="0"/>
      <w:szCs w:val="32"/>
    </w:rPr>
  </w:style>
  <w:style w:type="paragraph" w:styleId="7">
    <w:name w:val="heading 4"/>
    <w:basedOn w:val="1"/>
    <w:next w:val="1"/>
    <w:link w:val="28"/>
    <w:qFormat/>
    <w:uiPriority w:val="9"/>
    <w:pPr>
      <w:keepNext/>
      <w:keepLines/>
      <w:outlineLvl w:val="3"/>
    </w:pPr>
    <w:rPr>
      <w:b/>
      <w:bCs/>
      <w:szCs w:val="28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2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 w:afterLines="0" w:afterAutospacing="0"/>
      <w:ind w:left="420" w:leftChars="200"/>
    </w:pPr>
  </w:style>
  <w:style w:type="paragraph" w:styleId="8">
    <w:name w:val="annotation subject"/>
    <w:basedOn w:val="9"/>
    <w:next w:val="9"/>
    <w:link w:val="36"/>
    <w:semiHidden/>
    <w:qFormat/>
    <w:uiPriority w:val="99"/>
    <w:rPr>
      <w:b/>
      <w:bCs/>
    </w:rPr>
  </w:style>
  <w:style w:type="paragraph" w:styleId="9">
    <w:name w:val="annotation text"/>
    <w:basedOn w:val="1"/>
    <w:link w:val="29"/>
    <w:unhideWhenUsed/>
    <w:qFormat/>
    <w:uiPriority w:val="99"/>
    <w:pPr>
      <w:jc w:val="left"/>
    </w:pPr>
  </w:style>
  <w:style w:type="paragraph" w:styleId="10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1">
    <w:name w:val="Date"/>
    <w:basedOn w:val="1"/>
    <w:next w:val="1"/>
    <w:link w:val="37"/>
    <w:semiHidden/>
    <w:qFormat/>
    <w:uiPriority w:val="99"/>
    <w:pPr>
      <w:ind w:left="100" w:leftChars="2500"/>
    </w:pPr>
  </w:style>
  <w:style w:type="paragraph" w:styleId="12">
    <w:name w:val="Balloon Text"/>
    <w:basedOn w:val="1"/>
    <w:link w:val="38"/>
    <w:semiHidden/>
    <w:qFormat/>
    <w:uiPriority w:val="99"/>
    <w:rPr>
      <w:sz w:val="18"/>
      <w:szCs w:val="18"/>
    </w:rPr>
  </w:style>
  <w:style w:type="paragraph" w:styleId="13">
    <w:name w:val="footer"/>
    <w:basedOn w:val="1"/>
    <w:link w:val="3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4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unhideWhenUsed/>
    <w:qFormat/>
    <w:uiPriority w:val="39"/>
    <w:pPr>
      <w:tabs>
        <w:tab w:val="right" w:leader="dot" w:pos="9060"/>
      </w:tabs>
      <w:spacing w:line="440" w:lineRule="exact"/>
    </w:pPr>
    <w:rPr>
      <w:rFonts w:eastAsia="黑体"/>
      <w:b/>
      <w:sz w:val="24"/>
    </w:rPr>
  </w:style>
  <w:style w:type="paragraph" w:styleId="16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7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Calibri"/>
      <w:kern w:val="0"/>
      <w:sz w:val="24"/>
      <w:szCs w:val="24"/>
    </w:rPr>
  </w:style>
  <w:style w:type="character" w:styleId="19">
    <w:name w:val="Strong"/>
    <w:qFormat/>
    <w:uiPriority w:val="22"/>
    <w:rPr>
      <w:b/>
      <w:bCs/>
    </w:rPr>
  </w:style>
  <w:style w:type="character" w:styleId="20">
    <w:name w:val="page number"/>
    <w:basedOn w:val="18"/>
    <w:qFormat/>
    <w:uiPriority w:val="99"/>
  </w:style>
  <w:style w:type="character" w:styleId="21">
    <w:name w:val="FollowedHyperlink"/>
    <w:semiHidden/>
    <w:qFormat/>
    <w:uiPriority w:val="99"/>
    <w:rPr>
      <w:color w:val="800080"/>
      <w:u w:val="single"/>
    </w:rPr>
  </w:style>
  <w:style w:type="character" w:styleId="22">
    <w:name w:val="Hyperlink"/>
    <w:qFormat/>
    <w:uiPriority w:val="99"/>
    <w:rPr>
      <w:color w:val="0000FF"/>
      <w:u w:val="single"/>
    </w:rPr>
  </w:style>
  <w:style w:type="character" w:styleId="23">
    <w:name w:val="annotation reference"/>
    <w:unhideWhenUsed/>
    <w:qFormat/>
    <w:uiPriority w:val="99"/>
    <w:rPr>
      <w:sz w:val="21"/>
      <w:szCs w:val="21"/>
    </w:rPr>
  </w:style>
  <w:style w:type="character" w:customStyle="1" w:styleId="25">
    <w:name w:val="标题 1 Char"/>
    <w:link w:val="4"/>
    <w:qFormat/>
    <w:uiPriority w:val="9"/>
    <w:rPr>
      <w:rFonts w:ascii="Times New Roman" w:hAnsi="Times New Roman" w:eastAsia="方正小标宋简体"/>
      <w:b/>
      <w:bCs/>
      <w:kern w:val="44"/>
      <w:sz w:val="44"/>
      <w:szCs w:val="44"/>
    </w:rPr>
  </w:style>
  <w:style w:type="character" w:customStyle="1" w:styleId="26">
    <w:name w:val="标题 2 Char"/>
    <w:link w:val="5"/>
    <w:qFormat/>
    <w:uiPriority w:val="9"/>
    <w:rPr>
      <w:rFonts w:ascii="Times New Roman" w:hAnsi="Times New Roman" w:eastAsia="黑体"/>
      <w:b/>
      <w:bCs/>
      <w:sz w:val="30"/>
      <w:szCs w:val="32"/>
    </w:rPr>
  </w:style>
  <w:style w:type="character" w:customStyle="1" w:styleId="27">
    <w:name w:val="标题 3 Char"/>
    <w:link w:val="6"/>
    <w:qFormat/>
    <w:uiPriority w:val="9"/>
    <w:rPr>
      <w:rFonts w:ascii="Times New Roman" w:hAnsi="Times New Roman" w:eastAsia="仿宋_GB2312"/>
      <w:b/>
      <w:bCs/>
      <w:sz w:val="28"/>
      <w:szCs w:val="32"/>
    </w:rPr>
  </w:style>
  <w:style w:type="character" w:customStyle="1" w:styleId="28">
    <w:name w:val="标题 4 Char"/>
    <w:link w:val="7"/>
    <w:qFormat/>
    <w:uiPriority w:val="9"/>
    <w:rPr>
      <w:rFonts w:ascii="Times New Roman" w:hAnsi="Times New Roman" w:eastAsia="仿宋_GB2312"/>
      <w:b/>
      <w:bCs/>
      <w:kern w:val="2"/>
      <w:sz w:val="28"/>
      <w:szCs w:val="28"/>
    </w:rPr>
  </w:style>
  <w:style w:type="character" w:customStyle="1" w:styleId="29">
    <w:name w:val="批注文字 Char"/>
    <w:link w:val="9"/>
    <w:qFormat/>
    <w:uiPriority w:val="99"/>
    <w:rPr>
      <w:rFonts w:ascii="Times New Roman" w:hAnsi="Times New Roman" w:eastAsia="仿宋_GB2312"/>
      <w:kern w:val="2"/>
      <w:sz w:val="28"/>
      <w:szCs w:val="24"/>
    </w:rPr>
  </w:style>
  <w:style w:type="paragraph" w:styleId="30">
    <w:name w:val="No Spacing"/>
    <w:qFormat/>
    <w:uiPriority w:val="1"/>
    <w:pPr>
      <w:widowControl w:val="0"/>
      <w:topLinePunct/>
      <w:ind w:firstLine="200" w:firstLineChars="200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paragraph" w:styleId="31">
    <w:name w:val="List Paragraph"/>
    <w:basedOn w:val="1"/>
    <w:qFormat/>
    <w:uiPriority w:val="99"/>
    <w:pPr>
      <w:ind w:firstLine="420"/>
    </w:pPr>
  </w:style>
  <w:style w:type="paragraph" w:customStyle="1" w:styleId="32">
    <w:name w:val="TOC Heading"/>
    <w:basedOn w:val="4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 w:eastAsia="宋体"/>
      <w:color w:val="365F91"/>
      <w:kern w:val="0"/>
      <w:sz w:val="28"/>
      <w:szCs w:val="28"/>
    </w:rPr>
  </w:style>
  <w:style w:type="paragraph" w:customStyle="1" w:styleId="33">
    <w:name w:val="目录 31"/>
    <w:basedOn w:val="1"/>
    <w:next w:val="1"/>
    <w:unhideWhenUsed/>
    <w:qFormat/>
    <w:uiPriority w:val="39"/>
    <w:pPr>
      <w:ind w:left="560"/>
      <w:jc w:val="left"/>
    </w:pPr>
    <w:rPr>
      <w:rFonts w:ascii="Calibri" w:hAnsi="Calibri" w:cs="Calibri"/>
      <w:i/>
      <w:iCs/>
      <w:sz w:val="20"/>
      <w:szCs w:val="20"/>
    </w:rPr>
  </w:style>
  <w:style w:type="paragraph" w:customStyle="1" w:styleId="34">
    <w:name w:val="目录 11"/>
    <w:basedOn w:val="1"/>
    <w:next w:val="1"/>
    <w:unhideWhenUsed/>
    <w:qFormat/>
    <w:uiPriority w:val="39"/>
    <w:pPr>
      <w:spacing w:before="120" w:after="120"/>
      <w:jc w:val="left"/>
    </w:pPr>
    <w:rPr>
      <w:rFonts w:ascii="Calibri" w:hAnsi="Calibri" w:cs="Calibri"/>
      <w:b/>
      <w:bCs/>
      <w:caps/>
      <w:sz w:val="20"/>
      <w:szCs w:val="20"/>
    </w:rPr>
  </w:style>
  <w:style w:type="paragraph" w:customStyle="1" w:styleId="35">
    <w:name w:val="目录 21"/>
    <w:basedOn w:val="1"/>
    <w:next w:val="1"/>
    <w:unhideWhenUsed/>
    <w:qFormat/>
    <w:uiPriority w:val="39"/>
    <w:pPr>
      <w:ind w:left="280"/>
      <w:jc w:val="left"/>
    </w:pPr>
    <w:rPr>
      <w:rFonts w:ascii="Calibri" w:hAnsi="Calibri" w:cs="Calibri"/>
      <w:smallCaps/>
      <w:sz w:val="20"/>
      <w:szCs w:val="20"/>
    </w:rPr>
  </w:style>
  <w:style w:type="character" w:customStyle="1" w:styleId="36">
    <w:name w:val="批注主题 Char"/>
    <w:basedOn w:val="29"/>
    <w:link w:val="8"/>
    <w:semiHidden/>
    <w:qFormat/>
    <w:uiPriority w:val="99"/>
    <w:rPr>
      <w:rFonts w:ascii="等线" w:hAnsi="等线" w:eastAsia="等线" w:cs="等线"/>
      <w:b/>
      <w:bCs/>
      <w:sz w:val="21"/>
      <w:szCs w:val="21"/>
    </w:rPr>
  </w:style>
  <w:style w:type="character" w:customStyle="1" w:styleId="37">
    <w:name w:val="日期 Char"/>
    <w:basedOn w:val="18"/>
    <w:link w:val="11"/>
    <w:semiHidden/>
    <w:qFormat/>
    <w:uiPriority w:val="99"/>
    <w:rPr>
      <w:rFonts w:ascii="等线" w:hAnsi="等线" w:eastAsia="等线" w:cs="等线"/>
      <w:kern w:val="2"/>
      <w:sz w:val="21"/>
      <w:szCs w:val="21"/>
    </w:rPr>
  </w:style>
  <w:style w:type="character" w:customStyle="1" w:styleId="38">
    <w:name w:val="批注框文本 Char"/>
    <w:basedOn w:val="18"/>
    <w:link w:val="12"/>
    <w:semiHidden/>
    <w:qFormat/>
    <w:uiPriority w:val="99"/>
    <w:rPr>
      <w:rFonts w:ascii="等线" w:hAnsi="等线" w:eastAsia="等线" w:cs="等线"/>
      <w:kern w:val="2"/>
      <w:sz w:val="18"/>
      <w:szCs w:val="18"/>
    </w:rPr>
  </w:style>
  <w:style w:type="character" w:customStyle="1" w:styleId="39">
    <w:name w:val="页脚 Char"/>
    <w:basedOn w:val="18"/>
    <w:link w:val="13"/>
    <w:qFormat/>
    <w:uiPriority w:val="99"/>
    <w:rPr>
      <w:rFonts w:ascii="等线" w:hAnsi="等线" w:eastAsia="等线" w:cs="等线"/>
      <w:kern w:val="2"/>
      <w:sz w:val="18"/>
      <w:szCs w:val="18"/>
    </w:rPr>
  </w:style>
  <w:style w:type="character" w:customStyle="1" w:styleId="40">
    <w:name w:val="页眉 Char"/>
    <w:basedOn w:val="18"/>
    <w:link w:val="14"/>
    <w:qFormat/>
    <w:uiPriority w:val="99"/>
    <w:rPr>
      <w:rFonts w:ascii="等线" w:hAnsi="等线" w:eastAsia="等线" w:cs="等线"/>
      <w:kern w:val="2"/>
      <w:sz w:val="18"/>
      <w:szCs w:val="18"/>
    </w:rPr>
  </w:style>
  <w:style w:type="paragraph" w:customStyle="1" w:styleId="41">
    <w:name w:val="msonormal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2">
    <w:name w:val="xl77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0"/>
      <w:szCs w:val="20"/>
    </w:rPr>
  </w:style>
  <w:style w:type="paragraph" w:customStyle="1" w:styleId="43">
    <w:name w:val="xl78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44">
    <w:name w:val="xl7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C0C0C0"/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45">
    <w:name w:val="xl8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C0C0FF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46">
    <w:name w:val="xl8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47">
    <w:name w:val="xl8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C0C0FF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48">
    <w:name w:val="xl8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49">
    <w:name w:val="xl84"/>
    <w:basedOn w:val="1"/>
    <w:qFormat/>
    <w:uiPriority w:val="99"/>
    <w:pPr>
      <w:widowControl/>
      <w:pBdr>
        <w:lef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0">
    <w:name w:val="xl8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C0C0FF"/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1">
    <w:name w:val="xl8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2">
    <w:name w:val="xl8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3">
    <w:name w:val="xl8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4">
    <w:name w:val="xl8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C0C0FF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5">
    <w:name w:val="xl9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6">
    <w:name w:val="xl91"/>
    <w:basedOn w:val="1"/>
    <w:qFormat/>
    <w:uiPriority w:val="99"/>
    <w:pPr>
      <w:widowControl/>
      <w:pBdr>
        <w:top w:val="single" w:color="auto" w:sz="4" w:space="0"/>
        <w:lef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7">
    <w:name w:val="xl9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8">
    <w:name w:val="xl93"/>
    <w:basedOn w:val="1"/>
    <w:qFormat/>
    <w:uiPriority w:val="99"/>
    <w:pPr>
      <w:widowControl/>
      <w:pBdr>
        <w:top w:val="single" w:color="auto" w:sz="4" w:space="0"/>
        <w:lef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9">
    <w:name w:val="xl9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0">
    <w:name w:val="xl95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1">
    <w:name w:val="xl96"/>
    <w:basedOn w:val="1"/>
    <w:qFormat/>
    <w:uiPriority w:val="99"/>
    <w:pPr>
      <w:widowControl/>
      <w:pBdr>
        <w:left w:val="single" w:color="auto" w:sz="4" w:space="0"/>
        <w:bottom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2">
    <w:name w:val="xl97"/>
    <w:basedOn w:val="1"/>
    <w:qFormat/>
    <w:uiPriority w:val="99"/>
    <w:pPr>
      <w:widowControl/>
      <w:pBdr>
        <w:left w:val="single" w:color="auto" w:sz="4" w:space="0"/>
        <w:bottom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3">
    <w:name w:val="xl98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4">
    <w:name w:val="xl99"/>
    <w:basedOn w:val="1"/>
    <w:qFormat/>
    <w:uiPriority w:val="99"/>
    <w:pPr>
      <w:widowControl/>
      <w:pBdr>
        <w:left w:val="single" w:color="auto" w:sz="4" w:space="0"/>
        <w:righ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5">
    <w:name w:val="xl10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6">
    <w:name w:val="抄 送"/>
    <w:basedOn w:val="1"/>
    <w:qFormat/>
    <w:uiPriority w:val="0"/>
    <w:pPr>
      <w:framePr w:wrap="notBeside" w:vAnchor="margin" w:hAnchor="margin" w:yAlign="bottom"/>
    </w:pPr>
    <w:rPr>
      <w:rFonts w:ascii="Calibri" w:hAnsi="Calibri" w:eastAsia="仿宋_GB2312" w:cs="Calibri"/>
      <w:sz w:val="32"/>
      <w:szCs w:val="32"/>
    </w:rPr>
  </w:style>
  <w:style w:type="paragraph" w:customStyle="1" w:styleId="67">
    <w:name w:val="xl65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68">
    <w:name w:val="xl6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69">
    <w:name w:val="xl6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70">
    <w:name w:val="xl6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71">
    <w:name w:val="xl6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72">
    <w:name w:val="xl7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73">
    <w:name w:val="xl7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4">
    <w:name w:val="xl7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5">
    <w:name w:val="xl7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76">
    <w:name w:val="xl7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16"/>
      <w:szCs w:val="16"/>
    </w:rPr>
  </w:style>
  <w:style w:type="paragraph" w:customStyle="1" w:styleId="77">
    <w:name w:val="xl75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0"/>
      <w:szCs w:val="20"/>
    </w:rPr>
  </w:style>
  <w:style w:type="paragraph" w:customStyle="1" w:styleId="78">
    <w:name w:val="xl7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0"/>
      <w:szCs w:val="20"/>
    </w:rPr>
  </w:style>
  <w:style w:type="paragraph" w:customStyle="1" w:styleId="79">
    <w:name w:val="列出段落1"/>
    <w:basedOn w:val="1"/>
    <w:qFormat/>
    <w:uiPriority w:val="99"/>
    <w:pPr>
      <w:ind w:firstLine="420" w:firstLineChars="200"/>
    </w:pPr>
    <w:rPr>
      <w:rFonts w:ascii="Calibri" w:hAnsi="Calibri" w:eastAsia="宋体" w:cs="Calibri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35</Pages>
  <Words>2074</Words>
  <Characters>11825</Characters>
  <Lines>98</Lines>
  <Paragraphs>27</Paragraphs>
  <TotalTime>1</TotalTime>
  <ScaleCrop>false</ScaleCrop>
  <LinksUpToDate>false</LinksUpToDate>
  <CharactersWithSpaces>13872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2020-08-14T17:04:00Z</dcterms:created>
  <dc:creator>微软用户</dc:creator>
  <cp:lastModifiedBy>dell</cp:lastModifiedBy>
  <cp:lastPrinted>2025-03-13T08:57:00Z</cp:lastPrinted>
  <dcterms:modified xsi:type="dcterms:W3CDTF">2026-03-12T01:24:51Z</dcterms:modified>
  <cp:revision>418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