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方正小标宋简体" w:hAnsi="宋体" w:eastAsia="方正小标宋简体" w:cs="方正小标宋简体"/>
          <w:color w:val="000000"/>
          <w:sz w:val="36"/>
          <w:szCs w:val="36"/>
        </w:rPr>
      </w:pPr>
    </w:p>
    <w:p>
      <w:pPr>
        <w:widowControl/>
        <w:ind w:firstLine="880" w:firstLineChars="20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  <w:t>2025年度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襄阳市结核病防治院</w:t>
      </w:r>
    </w:p>
    <w:p>
      <w:pPr>
        <w:widowControl/>
        <w:ind w:firstLine="880" w:firstLineChars="200"/>
        <w:jc w:val="center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  <w:t>整体绩效自评表</w:t>
      </w:r>
    </w:p>
    <w:p>
      <w:pPr>
        <w:rPr>
          <w:color w:val="000000"/>
        </w:rPr>
      </w:pPr>
    </w:p>
    <w:p>
      <w:pPr>
        <w:widowControl/>
        <w:jc w:val="left"/>
        <w:rPr>
          <w:rFonts w:hint="default" w:ascii="楷体_GB2312" w:hAnsi="黑体" w:eastAsia="楷体_GB2312"/>
          <w:color w:val="000000"/>
          <w:kern w:val="0"/>
          <w:sz w:val="48"/>
          <w:szCs w:val="48"/>
          <w:lang w:val="en-US" w:eastAsia="zh-CN"/>
        </w:rPr>
      </w:pPr>
      <w:r>
        <w:rPr>
          <w:rFonts w:hint="eastAsia" w:ascii="楷体_GB2312" w:hAnsi="仿宋" w:eastAsia="楷体_GB2312" w:cs="楷体_GB2312"/>
          <w:color w:val="000000"/>
          <w:kern w:val="0"/>
          <w:sz w:val="28"/>
          <w:szCs w:val="28"/>
        </w:rPr>
        <w:t>单位名称</w:t>
      </w:r>
      <w:r>
        <w:rPr>
          <w:rFonts w:hint="eastAsia" w:ascii="楷体_GB2312" w:hAnsi="仿宋" w:eastAsia="楷体_GB2312" w:cs="楷体_GB2312"/>
          <w:color w:val="000000"/>
          <w:kern w:val="0"/>
          <w:sz w:val="28"/>
          <w:szCs w:val="28"/>
          <w:lang w:eastAsia="zh-CN"/>
        </w:rPr>
        <w:t>：</w:t>
      </w:r>
      <w:r>
        <w:rPr>
          <w:rFonts w:hint="eastAsia" w:ascii="楷体_GB2312" w:hAnsi="仿宋" w:eastAsia="楷体_GB2312" w:cs="楷体_GB2312"/>
          <w:color w:val="000000"/>
          <w:kern w:val="0"/>
          <w:sz w:val="28"/>
          <w:szCs w:val="28"/>
          <w:lang w:val="en-US" w:eastAsia="zh-CN"/>
        </w:rPr>
        <w:t xml:space="preserve">襄阳市结核病防治院      </w:t>
      </w:r>
      <w:r>
        <w:rPr>
          <w:rFonts w:hint="eastAsia" w:ascii="楷体_GB2312" w:hAnsi="仿宋" w:eastAsia="楷体_GB2312" w:cs="楷体_GB2312"/>
          <w:color w:val="000000"/>
          <w:kern w:val="0"/>
          <w:sz w:val="28"/>
          <w:szCs w:val="28"/>
        </w:rPr>
        <w:t>填报日期：</w:t>
      </w:r>
      <w:r>
        <w:rPr>
          <w:rFonts w:hint="eastAsia" w:ascii="楷体_GB2312" w:hAnsi="仿宋" w:eastAsia="楷体_GB2312" w:cs="楷体_GB2312"/>
          <w:color w:val="000000"/>
          <w:kern w:val="0"/>
          <w:sz w:val="28"/>
          <w:szCs w:val="28"/>
          <w:lang w:val="en-US" w:eastAsia="zh-CN"/>
        </w:rPr>
        <w:t>2026年3月11日</w:t>
      </w:r>
    </w:p>
    <w:tbl>
      <w:tblPr>
        <w:tblStyle w:val="24"/>
        <w:tblW w:w="8948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8"/>
        <w:gridCol w:w="700"/>
        <w:gridCol w:w="1122"/>
        <w:gridCol w:w="1336"/>
        <w:gridCol w:w="906"/>
        <w:gridCol w:w="700"/>
        <w:gridCol w:w="1160"/>
        <w:gridCol w:w="660"/>
        <w:gridCol w:w="659"/>
        <w:gridCol w:w="87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528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</w:rPr>
              <w:t>单位名称</w:t>
            </w:r>
          </w:p>
        </w:tc>
        <w:tc>
          <w:tcPr>
            <w:tcW w:w="7420" w:type="dxa"/>
            <w:gridSpan w:val="8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襄阳市结核病防治院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528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lang w:eastAsia="zh-CN"/>
              </w:rPr>
              <w:t>基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</w:rPr>
              <w:t>本支</w:t>
            </w:r>
            <w:r>
              <w:rPr>
                <w:rFonts w:hint="eastAsia" w:ascii="仿宋_GB2312" w:hAnsi="宋体" w:eastAsia="仿宋_GB2312"/>
                <w:color w:val="000000"/>
                <w:kern w:val="0"/>
              </w:rPr>
              <w:t>出总额</w:t>
            </w:r>
          </w:p>
        </w:tc>
        <w:tc>
          <w:tcPr>
            <w:tcW w:w="3364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3331.96</w:t>
            </w:r>
          </w:p>
        </w:tc>
        <w:tc>
          <w:tcPr>
            <w:tcW w:w="2520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</w:rPr>
              <w:t>项目支出总额</w:t>
            </w:r>
          </w:p>
        </w:tc>
        <w:tc>
          <w:tcPr>
            <w:tcW w:w="1536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1418.05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1528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</w:rPr>
              <w:t>年度目标：</w:t>
            </w:r>
          </w:p>
        </w:tc>
        <w:tc>
          <w:tcPr>
            <w:tcW w:w="7420" w:type="dxa"/>
            <w:gridSpan w:val="8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</w:rPr>
              <w:t>以“预防为主、防治结合”为核心，全面落实国家及省市结核病防治规划，规范开展结核病筛查、诊断、治疗、管理全流程服务，强化疫情监测与应急处置能力，提升医疗服务质量与效率，严控运行成本，加强人才队伍与信息化建设，提高患者满意度及社会防控成效，全力降低辖区结核病发病率与死亡率，保障公众健康安全</w:t>
            </w:r>
            <w:r>
              <w:rPr>
                <w:rFonts w:hint="eastAsia" w:ascii="仿宋_GB2312" w:hAnsi="宋体" w:eastAsia="仿宋_GB2312"/>
                <w:color w:val="000000"/>
                <w:kern w:val="0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28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</w:rPr>
              <w:t>年度绩效指标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</w:rPr>
              <w:t>一级指标</w:t>
            </w:r>
          </w:p>
        </w:tc>
        <w:tc>
          <w:tcPr>
            <w:tcW w:w="1122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</w:rPr>
              <w:t>二级指标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</w:rPr>
              <w:t>三级指标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</w:rPr>
              <w:t>指标分类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</w:rPr>
              <w:t>指标权重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</w:rPr>
              <w:t>年初目标值（</w:t>
            </w:r>
            <w:r>
              <w:rPr>
                <w:rFonts w:ascii="仿宋_GB2312" w:hAnsi="宋体" w:eastAsia="仿宋_GB2312" w:cs="仿宋_GB2312"/>
                <w:color w:val="000000"/>
                <w:kern w:val="0"/>
              </w:rPr>
              <w:t>A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</w:rPr>
              <w:t>）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</w:rPr>
              <w:t>实际完成值（</w:t>
            </w:r>
            <w:r>
              <w:rPr>
                <w:rFonts w:ascii="仿宋_GB2312" w:hAnsi="宋体" w:eastAsia="仿宋_GB2312" w:cs="仿宋_GB2312"/>
                <w:color w:val="000000"/>
                <w:kern w:val="0"/>
              </w:rPr>
              <w:t>B</w:t>
            </w:r>
            <w:r>
              <w:rPr>
                <w:rFonts w:hint="eastAsia" w:ascii="仿宋_GB2312" w:hAnsi="宋体" w:eastAsia="仿宋_GB2312" w:cs="仿宋_GB2312"/>
                <w:color w:val="000000"/>
                <w:kern w:val="0"/>
              </w:rPr>
              <w:t>）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</w:rPr>
              <w:t>得分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700" w:type="dxa"/>
            <w:vMerge w:val="restart"/>
            <w:noWrap w:val="0"/>
            <w:vAlign w:val="center"/>
          </w:tcPr>
          <w:p>
            <w:pPr>
              <w:widowControl/>
              <w:snapToGrid w:val="0"/>
              <w:jc w:val="both"/>
              <w:rPr>
                <w:rFonts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</w:rPr>
              <w:t>运行</w:t>
            </w:r>
          </w:p>
          <w:p>
            <w:pPr>
              <w:jc w:val="both"/>
              <w:rPr>
                <w:rFonts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</w:rPr>
              <w:t>成本</w:t>
            </w:r>
          </w:p>
        </w:tc>
        <w:tc>
          <w:tcPr>
            <w:tcW w:w="112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/>
                <w:color w:val="000000"/>
                <w:kern w:val="0"/>
                <w:u w:val="single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</w:rPr>
              <w:t>公用经费控制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</w:rPr>
              <w:t>公用经费控制率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widowControl/>
              <w:snapToGrid w:val="0"/>
              <w:jc w:val="both"/>
              <w:rPr>
                <w:rFonts w:hint="eastAsia" w:ascii="仿宋_GB2312" w:hAnsi="宋体" w:eastAsia="仿宋_GB2312" w:cs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lang w:val="en-US" w:eastAsia="zh-CN"/>
              </w:rPr>
              <w:t>绩效基本型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≤100%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100%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700" w:type="dxa"/>
            <w:vMerge w:val="continue"/>
            <w:noWrap w:val="0"/>
            <w:vAlign w:val="center"/>
          </w:tcPr>
          <w:p>
            <w:pPr>
              <w:widowControl/>
              <w:jc w:val="both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112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/>
                <w:color w:val="000000"/>
                <w:kern w:val="0"/>
                <w:u w:val="single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</w:rPr>
              <w:t>在职人员控制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eastAsia="zh-CN"/>
              </w:rPr>
              <w:t>在职</w:t>
            </w:r>
            <w:r>
              <w:rPr>
                <w:rFonts w:hint="eastAsia" w:ascii="仿宋_GB2312" w:hAnsi="宋体" w:eastAsia="仿宋_GB2312"/>
                <w:color w:val="000000"/>
                <w:kern w:val="0"/>
              </w:rPr>
              <w:t>人员控制率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lang w:val="en-US" w:eastAsia="zh-CN"/>
              </w:rPr>
              <w:t>绩效基本型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≤100%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100%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700" w:type="dxa"/>
            <w:vMerge w:val="continue"/>
            <w:noWrap w:val="0"/>
            <w:vAlign w:val="center"/>
          </w:tcPr>
          <w:p>
            <w:pPr>
              <w:widowControl/>
              <w:jc w:val="both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1122" w:type="dxa"/>
            <w:vMerge w:val="restar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</w:rPr>
              <w:t>项目支出成本控制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</w:rPr>
              <w:t>会议费控制率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lang w:val="en-US" w:eastAsia="zh-CN"/>
              </w:rPr>
              <w:t>绩效基本型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≤100%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100%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700" w:type="dxa"/>
            <w:vMerge w:val="continue"/>
            <w:noWrap w:val="0"/>
            <w:vAlign w:val="center"/>
          </w:tcPr>
          <w:p>
            <w:pPr>
              <w:widowControl/>
              <w:jc w:val="both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1122" w:type="dxa"/>
            <w:vMerge w:val="continue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133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</w:rPr>
              <w:t>“三公经费”变动率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lang w:val="en-US" w:eastAsia="zh-CN"/>
              </w:rPr>
              <w:t>绩效基本型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≤-5%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-54.82%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700" w:type="dxa"/>
            <w:vMerge w:val="continue"/>
            <w:noWrap w:val="0"/>
            <w:vAlign w:val="center"/>
          </w:tcPr>
          <w:p>
            <w:pPr>
              <w:widowControl/>
              <w:jc w:val="both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1122" w:type="dxa"/>
            <w:vMerge w:val="continue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133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color w:val="auto"/>
                <w:kern w:val="0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highlight w:val="none"/>
              </w:rPr>
              <w:t>医疗耗材成本控制率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color w:val="auto"/>
                <w:kern w:val="0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auto"/>
                <w:kern w:val="0"/>
                <w:highlight w:val="none"/>
                <w:lang w:val="en-US" w:eastAsia="zh-CN"/>
              </w:rPr>
              <w:t>绩效创新型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auto"/>
                <w:kern w:val="0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auto"/>
                <w:kern w:val="0"/>
                <w:highlight w:val="none"/>
                <w:lang w:val="en-US" w:eastAsia="zh-CN"/>
              </w:rPr>
              <w:t>≤95%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90%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700" w:type="dxa"/>
            <w:vMerge w:val="restart"/>
            <w:noWrap w:val="0"/>
            <w:vAlign w:val="center"/>
          </w:tcPr>
          <w:p>
            <w:pPr>
              <w:widowControl/>
              <w:jc w:val="both"/>
              <w:rPr>
                <w:rFonts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</w:rPr>
              <w:t>管理效率</w:t>
            </w:r>
          </w:p>
        </w:tc>
        <w:tc>
          <w:tcPr>
            <w:tcW w:w="1122" w:type="dxa"/>
            <w:vMerge w:val="restar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/>
                <w:color w:val="000000"/>
                <w:kern w:val="0"/>
                <w:u w:val="single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</w:rPr>
              <w:t>战略管理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</w:rPr>
              <w:t>中长期规划相符性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lang w:val="en-US" w:eastAsia="zh-CN"/>
              </w:rPr>
              <w:t>绩效基本型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完全相符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完全相符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700" w:type="dxa"/>
            <w:vMerge w:val="continue"/>
            <w:noWrap w:val="0"/>
            <w:vAlign w:val="center"/>
          </w:tcPr>
          <w:p>
            <w:pPr>
              <w:jc w:val="both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1122" w:type="dxa"/>
            <w:vMerge w:val="continue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</w:rPr>
            </w:pPr>
          </w:p>
        </w:tc>
        <w:tc>
          <w:tcPr>
            <w:tcW w:w="133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</w:rPr>
              <w:t>工作计划健全性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lang w:val="en-US" w:eastAsia="zh-CN"/>
              </w:rPr>
              <w:t>绩效基本型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健全规范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健全规范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700" w:type="dxa"/>
            <w:vMerge w:val="continue"/>
            <w:noWrap w:val="0"/>
            <w:vAlign w:val="center"/>
          </w:tcPr>
          <w:p>
            <w:pPr>
              <w:jc w:val="both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1122" w:type="dxa"/>
            <w:vMerge w:val="restart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</w:rPr>
              <w:t>预算编制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</w:rPr>
              <w:t>预算编制科学性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lang w:val="en-US" w:eastAsia="zh-CN"/>
              </w:rPr>
              <w:t>绩效基本型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科学合理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科学合理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700" w:type="dxa"/>
            <w:vMerge w:val="continue"/>
            <w:noWrap w:val="0"/>
            <w:vAlign w:val="center"/>
          </w:tcPr>
          <w:p>
            <w:pPr>
              <w:jc w:val="both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1122" w:type="dxa"/>
            <w:vMerge w:val="continue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/>
                <w:color w:val="000000"/>
                <w:kern w:val="0"/>
                <w:u w:val="single"/>
              </w:rPr>
            </w:pPr>
          </w:p>
        </w:tc>
        <w:tc>
          <w:tcPr>
            <w:tcW w:w="133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</w:rPr>
              <w:t>预算编制合理性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lang w:val="en-US" w:eastAsia="zh-CN"/>
              </w:rPr>
              <w:t>绩效基本型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100%合理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合理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700" w:type="dxa"/>
            <w:vMerge w:val="continue"/>
            <w:noWrap w:val="0"/>
            <w:vAlign w:val="center"/>
          </w:tcPr>
          <w:p>
            <w:pPr>
              <w:jc w:val="both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1122" w:type="dxa"/>
            <w:vMerge w:val="continue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</w:rPr>
            </w:pPr>
          </w:p>
        </w:tc>
        <w:tc>
          <w:tcPr>
            <w:tcW w:w="133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</w:rPr>
              <w:t>立项规范性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lang w:val="en-US" w:eastAsia="zh-CN"/>
              </w:rPr>
              <w:t>绩效基本型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100%合规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合规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700" w:type="dxa"/>
            <w:vMerge w:val="continue"/>
            <w:noWrap w:val="0"/>
            <w:vAlign w:val="center"/>
          </w:tcPr>
          <w:p>
            <w:pPr>
              <w:jc w:val="both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1122" w:type="dxa"/>
            <w:vMerge w:val="continue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</w:rPr>
            </w:pPr>
          </w:p>
        </w:tc>
        <w:tc>
          <w:tcPr>
            <w:tcW w:w="133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</w:rPr>
              <w:t>预算调整率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lang w:val="en-US" w:eastAsia="zh-CN"/>
              </w:rPr>
              <w:t>绩效基本型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≤8%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0%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700" w:type="dxa"/>
            <w:vMerge w:val="continue"/>
            <w:noWrap w:val="0"/>
            <w:vAlign w:val="center"/>
          </w:tcPr>
          <w:p>
            <w:pPr>
              <w:jc w:val="both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1122" w:type="dxa"/>
            <w:vMerge w:val="restar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</w:rPr>
              <w:t>预算执行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</w:rPr>
              <w:t>预算执行率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lang w:val="en-US" w:eastAsia="zh-CN"/>
              </w:rPr>
              <w:t>绩效基本型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100%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100%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700" w:type="dxa"/>
            <w:vMerge w:val="continue"/>
            <w:noWrap w:val="0"/>
            <w:vAlign w:val="center"/>
          </w:tcPr>
          <w:p>
            <w:pPr>
              <w:jc w:val="both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1122" w:type="dxa"/>
            <w:vMerge w:val="continue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</w:rPr>
            </w:pPr>
          </w:p>
        </w:tc>
        <w:tc>
          <w:tcPr>
            <w:tcW w:w="133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</w:rPr>
              <w:t>结转结余率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lang w:val="en-US" w:eastAsia="zh-CN"/>
              </w:rPr>
              <w:t>绩效基本型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≤10%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0%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700" w:type="dxa"/>
            <w:vMerge w:val="continue"/>
            <w:noWrap w:val="0"/>
            <w:vAlign w:val="center"/>
          </w:tcPr>
          <w:p>
            <w:pPr>
              <w:jc w:val="both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1122" w:type="dxa"/>
            <w:vMerge w:val="continue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</w:rPr>
            </w:pPr>
          </w:p>
        </w:tc>
        <w:tc>
          <w:tcPr>
            <w:tcW w:w="133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</w:rPr>
              <w:t>政府采购执行率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lang w:val="en-US" w:eastAsia="zh-CN"/>
              </w:rPr>
              <w:t>绩效基本型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100%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100%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700" w:type="dxa"/>
            <w:vMerge w:val="continue"/>
            <w:noWrap w:val="0"/>
            <w:vAlign w:val="center"/>
          </w:tcPr>
          <w:p>
            <w:pPr>
              <w:jc w:val="both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1122" w:type="dxa"/>
            <w:vMerge w:val="continue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</w:rPr>
            </w:pPr>
          </w:p>
        </w:tc>
        <w:tc>
          <w:tcPr>
            <w:tcW w:w="133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</w:rPr>
              <w:t>非税收入预算完成率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lang w:val="en-US" w:eastAsia="zh-CN"/>
              </w:rPr>
              <w:t>绩效基本型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≥90%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100%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700" w:type="dxa"/>
            <w:vMerge w:val="continue"/>
            <w:noWrap w:val="0"/>
            <w:vAlign w:val="center"/>
          </w:tcPr>
          <w:p>
            <w:pPr>
              <w:jc w:val="both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1122" w:type="dxa"/>
            <w:vMerge w:val="restar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</w:rPr>
              <w:t>绩效管理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</w:rPr>
              <w:t>事前绩效评估完成率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lang w:val="en-US" w:eastAsia="zh-CN"/>
              </w:rPr>
              <w:t>绩效基本型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100%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100%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700" w:type="dxa"/>
            <w:vMerge w:val="continue"/>
            <w:noWrap w:val="0"/>
            <w:vAlign w:val="center"/>
          </w:tcPr>
          <w:p>
            <w:pPr>
              <w:jc w:val="both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1122" w:type="dxa"/>
            <w:vMerge w:val="continue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</w:rPr>
            </w:pPr>
          </w:p>
        </w:tc>
        <w:tc>
          <w:tcPr>
            <w:tcW w:w="133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</w:rPr>
              <w:t>绩效目标合理性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lang w:val="en-US" w:eastAsia="zh-CN"/>
              </w:rPr>
              <w:t>绩效基本型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合理可行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合理可行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700" w:type="dxa"/>
            <w:vMerge w:val="continue"/>
            <w:noWrap w:val="0"/>
            <w:vAlign w:val="center"/>
          </w:tcPr>
          <w:p>
            <w:pPr>
              <w:jc w:val="both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1122" w:type="dxa"/>
            <w:vMerge w:val="continue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</w:rPr>
            </w:pPr>
          </w:p>
        </w:tc>
        <w:tc>
          <w:tcPr>
            <w:tcW w:w="133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</w:rPr>
              <w:t>绩效监控开展率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lang w:val="en-US" w:eastAsia="zh-CN"/>
              </w:rPr>
              <w:t>绩效基本型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100%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100%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700" w:type="dxa"/>
            <w:vMerge w:val="continue"/>
            <w:noWrap w:val="0"/>
            <w:vAlign w:val="center"/>
          </w:tcPr>
          <w:p>
            <w:pPr>
              <w:jc w:val="both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1122" w:type="dxa"/>
            <w:vMerge w:val="continue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</w:rPr>
            </w:pPr>
          </w:p>
        </w:tc>
        <w:tc>
          <w:tcPr>
            <w:tcW w:w="133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</w:rPr>
              <w:t>绩效评价覆盖率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lang w:val="en-US" w:eastAsia="zh-CN"/>
              </w:rPr>
              <w:t>绩效基本型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100%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100%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atLeas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700" w:type="dxa"/>
            <w:vMerge w:val="continue"/>
            <w:noWrap w:val="0"/>
            <w:vAlign w:val="center"/>
          </w:tcPr>
          <w:p>
            <w:pPr>
              <w:jc w:val="both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1122" w:type="dxa"/>
            <w:vMerge w:val="continue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</w:rPr>
            </w:pPr>
          </w:p>
        </w:tc>
        <w:tc>
          <w:tcPr>
            <w:tcW w:w="133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</w:rPr>
              <w:t>评价结果应用率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lang w:val="en-US" w:eastAsia="zh-CN"/>
              </w:rPr>
              <w:t>绩效创新型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≥90%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95%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700" w:type="dxa"/>
            <w:vMerge w:val="continue"/>
            <w:noWrap w:val="0"/>
            <w:vAlign w:val="center"/>
          </w:tcPr>
          <w:p>
            <w:pPr>
              <w:jc w:val="both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1122" w:type="dxa"/>
            <w:vMerge w:val="restar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</w:rPr>
              <w:t>资产管理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</w:rPr>
              <w:t>资产管理制度健全性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lang w:val="en-US" w:eastAsia="zh-CN"/>
              </w:rPr>
              <w:t>绩效基本型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健全完善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健全完善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700" w:type="dxa"/>
            <w:vMerge w:val="continue"/>
            <w:noWrap w:val="0"/>
            <w:vAlign w:val="center"/>
          </w:tcPr>
          <w:p>
            <w:pPr>
              <w:jc w:val="both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1122" w:type="dxa"/>
            <w:vMerge w:val="continue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</w:rPr>
            </w:pPr>
          </w:p>
        </w:tc>
        <w:tc>
          <w:tcPr>
            <w:tcW w:w="133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</w:rPr>
              <w:t>资产管理规范性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lang w:val="en-US" w:eastAsia="zh-CN"/>
              </w:rPr>
              <w:t>绩效基本型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账实相符100%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100%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700" w:type="dxa"/>
            <w:vMerge w:val="continue"/>
            <w:noWrap w:val="0"/>
            <w:vAlign w:val="center"/>
          </w:tcPr>
          <w:p>
            <w:pPr>
              <w:jc w:val="both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1122" w:type="dxa"/>
            <w:vMerge w:val="restar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</w:rPr>
              <w:t>财务管理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</w:rPr>
              <w:t>财务管理制度健全性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lang w:val="en-US" w:eastAsia="zh-CN"/>
              </w:rPr>
              <w:t>绩效基本型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健全合规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健全合规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700" w:type="dxa"/>
            <w:vMerge w:val="continue"/>
            <w:noWrap w:val="0"/>
            <w:vAlign w:val="center"/>
          </w:tcPr>
          <w:p>
            <w:pPr>
              <w:jc w:val="both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1122" w:type="dxa"/>
            <w:vMerge w:val="continue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133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</w:rPr>
              <w:t>会计核算规范性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lang w:val="en-US" w:eastAsia="zh-CN"/>
              </w:rPr>
              <w:t>绩效基本型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规范无误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规范无误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9" w:hRule="atLeas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700" w:type="dxa"/>
            <w:vMerge w:val="continue"/>
            <w:noWrap w:val="0"/>
            <w:vAlign w:val="center"/>
          </w:tcPr>
          <w:p>
            <w:pPr>
              <w:jc w:val="both"/>
              <w:rPr>
                <w:rFonts w:ascii="仿宋_GB2312" w:hAnsi="宋体" w:eastAsia="仿宋_GB2312" w:cs="仿宋_GB2312"/>
                <w:color w:val="000000"/>
                <w:kern w:val="0"/>
              </w:rPr>
            </w:pPr>
          </w:p>
        </w:tc>
        <w:tc>
          <w:tcPr>
            <w:tcW w:w="1122" w:type="dxa"/>
            <w:vMerge w:val="continue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133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</w:rPr>
              <w:t>资金使用合规性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lang w:val="en-US" w:eastAsia="zh-CN"/>
              </w:rPr>
              <w:t>绩效基本型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100%合规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100%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700" w:type="dxa"/>
            <w:vMerge w:val="restart"/>
            <w:noWrap w:val="0"/>
            <w:vAlign w:val="center"/>
          </w:tcPr>
          <w:p>
            <w:pPr>
              <w:widowControl/>
              <w:snapToGrid w:val="0"/>
              <w:jc w:val="both"/>
              <w:rPr>
                <w:rFonts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</w:rPr>
              <w:t>履职</w:t>
            </w:r>
          </w:p>
          <w:p>
            <w:pPr>
              <w:jc w:val="both"/>
              <w:rPr>
                <w:rFonts w:ascii="仿宋_GB2312" w:hAnsi="宋体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</w:rPr>
              <w:t>效能</w:t>
            </w:r>
          </w:p>
        </w:tc>
        <w:tc>
          <w:tcPr>
            <w:tcW w:w="112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color w:val="000000"/>
                <w:kern w:val="0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highlight w:val="none"/>
              </w:rPr>
              <w:t>核心业务产出1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color w:val="000000"/>
                <w:kern w:val="0"/>
                <w:highlight w:val="none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highlight w:val="none"/>
              </w:rPr>
              <w:t>初诊患者查痰率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/>
                <w:color w:val="000000"/>
                <w:kern w:val="0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highlight w:val="none"/>
                <w:lang w:val="en-US" w:eastAsia="zh-CN"/>
              </w:rPr>
              <w:t>绩效基本型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highlight w:val="none"/>
                <w:lang w:val="en-US" w:eastAsia="zh-CN"/>
              </w:rPr>
              <w:t>≥90%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highlight w:val="none"/>
                <w:lang w:val="en-US" w:eastAsia="zh-CN"/>
              </w:rPr>
              <w:t>96.16%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700" w:type="dxa"/>
            <w:vMerge w:val="continue"/>
            <w:noWrap w:val="0"/>
            <w:vAlign w:val="center"/>
          </w:tcPr>
          <w:p>
            <w:pPr>
              <w:jc w:val="both"/>
              <w:rPr>
                <w:rFonts w:ascii="仿宋_GB2312" w:hAnsi="宋体" w:eastAsia="仿宋_GB2312" w:cs="仿宋_GB2312"/>
                <w:color w:val="000000"/>
                <w:kern w:val="0"/>
              </w:rPr>
            </w:pPr>
          </w:p>
        </w:tc>
        <w:tc>
          <w:tcPr>
            <w:tcW w:w="112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color w:val="000000"/>
                <w:kern w:val="0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highlight w:val="none"/>
              </w:rPr>
              <w:t>核心业务产出2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color w:val="000000"/>
                <w:kern w:val="0"/>
                <w:highlight w:val="none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highlight w:val="none"/>
              </w:rPr>
              <w:t>活动性肺结核成功治疗率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/>
                <w:color w:val="000000"/>
                <w:kern w:val="0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highlight w:val="none"/>
                <w:lang w:val="en-US" w:eastAsia="zh-CN"/>
              </w:rPr>
              <w:t>绩效基本型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highlight w:val="none"/>
                <w:lang w:val="en-US" w:eastAsia="zh-CN"/>
              </w:rPr>
              <w:t>≥85%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highlight w:val="none"/>
                <w:lang w:val="en-US" w:eastAsia="zh-CN"/>
              </w:rPr>
              <w:t>94.63%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700" w:type="dxa"/>
            <w:vMerge w:val="continue"/>
            <w:noWrap w:val="0"/>
            <w:vAlign w:val="center"/>
          </w:tcPr>
          <w:p>
            <w:pPr>
              <w:jc w:val="both"/>
              <w:rPr>
                <w:rFonts w:ascii="仿宋_GB2312" w:hAnsi="宋体" w:eastAsia="仿宋_GB2312" w:cs="仿宋_GB2312"/>
                <w:color w:val="000000"/>
                <w:kern w:val="0"/>
              </w:rPr>
            </w:pPr>
          </w:p>
        </w:tc>
        <w:tc>
          <w:tcPr>
            <w:tcW w:w="112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color w:val="000000"/>
                <w:kern w:val="0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highlight w:val="none"/>
                <w:lang w:val="en-US" w:eastAsia="zh-CN"/>
              </w:rPr>
              <w:t>核心业务产出3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/>
                <w:color w:val="000000"/>
                <w:kern w:val="0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highlight w:val="none"/>
                <w:lang w:val="en-US" w:eastAsia="zh-CN"/>
              </w:rPr>
              <w:t>密切接触者筛查率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highlight w:val="none"/>
                <w:lang w:val="en-US" w:eastAsia="zh-CN"/>
              </w:rPr>
              <w:t>绩效创新型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highlight w:val="none"/>
                <w:lang w:val="en-US" w:eastAsia="zh-CN"/>
              </w:rPr>
              <w:t>≥85%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highlight w:val="none"/>
                <w:lang w:val="en-US" w:eastAsia="zh-CN"/>
              </w:rPr>
              <w:t>99.55%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700" w:type="dxa"/>
            <w:vMerge w:val="continue"/>
            <w:noWrap w:val="0"/>
            <w:vAlign w:val="center"/>
          </w:tcPr>
          <w:p>
            <w:pPr>
              <w:jc w:val="both"/>
              <w:rPr>
                <w:rFonts w:ascii="仿宋_GB2312" w:hAnsi="宋体" w:eastAsia="仿宋_GB2312" w:cs="仿宋_GB2312"/>
                <w:color w:val="000000"/>
                <w:kern w:val="0"/>
              </w:rPr>
            </w:pPr>
          </w:p>
        </w:tc>
        <w:tc>
          <w:tcPr>
            <w:tcW w:w="112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color w:val="000000"/>
                <w:kern w:val="0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highlight w:val="none"/>
                <w:lang w:val="en-US" w:eastAsia="zh-CN"/>
              </w:rPr>
              <w:t>核心业务产出4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/>
                <w:color w:val="000000"/>
                <w:kern w:val="0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highlight w:val="none"/>
                <w:lang w:val="en-US" w:eastAsia="zh-CN"/>
              </w:rPr>
              <w:t>药占比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color w:val="000000"/>
                <w:kern w:val="0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highlight w:val="none"/>
                <w:lang w:val="en-US" w:eastAsia="zh-CN"/>
              </w:rPr>
              <w:t>绩效基本型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≤30%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color w:val="000000"/>
                <w:kern w:val="0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54.39%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700" w:type="dxa"/>
            <w:vMerge w:val="continue"/>
            <w:noWrap w:val="0"/>
            <w:vAlign w:val="center"/>
          </w:tcPr>
          <w:p>
            <w:pPr>
              <w:jc w:val="both"/>
              <w:rPr>
                <w:rFonts w:ascii="仿宋_GB2312" w:hAnsi="宋体" w:eastAsia="仿宋_GB2312" w:cs="仿宋_GB2312"/>
                <w:color w:val="000000"/>
                <w:kern w:val="0"/>
              </w:rPr>
            </w:pPr>
          </w:p>
        </w:tc>
        <w:tc>
          <w:tcPr>
            <w:tcW w:w="112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color w:val="000000"/>
                <w:kern w:val="0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highlight w:val="none"/>
                <w:lang w:val="en-US" w:eastAsia="zh-CN"/>
              </w:rPr>
              <w:t>核心业务产出5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color w:val="000000"/>
                <w:kern w:val="0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降低结核病发病率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color w:val="000000"/>
                <w:kern w:val="0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highlight w:val="none"/>
                <w:lang w:val="en-US" w:eastAsia="zh-CN"/>
              </w:rPr>
              <w:t>绩效基本型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color w:val="000000"/>
                <w:kern w:val="0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≤0.049%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color w:val="000000"/>
                <w:kern w:val="0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0.044%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700" w:type="dxa"/>
            <w:vMerge w:val="continue"/>
            <w:noWrap w:val="0"/>
            <w:vAlign w:val="center"/>
          </w:tcPr>
          <w:p>
            <w:pPr>
              <w:jc w:val="both"/>
              <w:rPr>
                <w:rFonts w:ascii="仿宋_GB2312" w:hAnsi="宋体" w:eastAsia="仿宋_GB2312" w:cs="仿宋_GB2312"/>
                <w:color w:val="000000"/>
                <w:kern w:val="0"/>
              </w:rPr>
            </w:pPr>
          </w:p>
        </w:tc>
        <w:tc>
          <w:tcPr>
            <w:tcW w:w="112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color w:val="000000"/>
                <w:kern w:val="0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highlight w:val="none"/>
                <w:lang w:val="en-US" w:eastAsia="zh-CN"/>
              </w:rPr>
              <w:t>核心业务产出6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/>
                <w:color w:val="000000"/>
                <w:kern w:val="0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highlight w:val="none"/>
                <w:lang w:val="en-US" w:eastAsia="zh-CN"/>
              </w:rPr>
              <w:t>门诊接诊人数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default" w:ascii="仿宋_GB2312" w:hAnsi="宋体" w:eastAsia="仿宋_GB2312" w:cs="仿宋_GB2312"/>
                <w:color w:val="000000"/>
                <w:kern w:val="0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highlight w:val="none"/>
                <w:lang w:val="en-US" w:eastAsia="zh-CN"/>
              </w:rPr>
              <w:t>绩效基本型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highlight w:val="none"/>
                <w:lang w:val="en-US" w:eastAsia="zh-CN"/>
              </w:rPr>
              <w:t>12500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highlight w:val="none"/>
                <w:lang w:val="en-US" w:eastAsia="zh-CN"/>
              </w:rPr>
              <w:t>13946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700" w:type="dxa"/>
            <w:vMerge w:val="restart"/>
            <w:noWrap w:val="0"/>
            <w:vAlign w:val="center"/>
          </w:tcPr>
          <w:p>
            <w:pPr>
              <w:widowControl/>
              <w:snapToGrid w:val="0"/>
              <w:jc w:val="both"/>
              <w:rPr>
                <w:rFonts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</w:rPr>
              <w:t>社会</w:t>
            </w:r>
          </w:p>
          <w:p>
            <w:pPr>
              <w:jc w:val="both"/>
              <w:rPr>
                <w:rFonts w:ascii="仿宋_GB2312" w:hAnsi="宋体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</w:rPr>
              <w:t>效应</w:t>
            </w:r>
          </w:p>
        </w:tc>
        <w:tc>
          <w:tcPr>
            <w:tcW w:w="112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color w:val="000000"/>
                <w:kern w:val="0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highlight w:val="none"/>
              </w:rPr>
              <w:t>经济效益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color w:val="000000"/>
                <w:kern w:val="0"/>
                <w:highlight w:val="none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highlight w:val="none"/>
              </w:rPr>
              <w:t>活动性肺结核登记率下降率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color w:val="000000"/>
                <w:kern w:val="0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highlight w:val="none"/>
                <w:lang w:val="en-US" w:eastAsia="zh-CN"/>
              </w:rPr>
              <w:t>绩效基本型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highlight w:val="none"/>
                <w:lang w:val="en-US" w:eastAsia="zh-CN"/>
              </w:rPr>
              <w:t>≥1%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highlight w:val="none"/>
                <w:lang w:val="en-US" w:eastAsia="zh-CN"/>
              </w:rPr>
              <w:t>0.89%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700" w:type="dxa"/>
            <w:vMerge w:val="continue"/>
            <w:noWrap w:val="0"/>
            <w:vAlign w:val="center"/>
          </w:tcPr>
          <w:p>
            <w:pPr>
              <w:jc w:val="both"/>
              <w:rPr>
                <w:rFonts w:ascii="仿宋_GB2312" w:hAnsi="宋体" w:eastAsia="仿宋_GB2312" w:cs="仿宋_GB2312"/>
                <w:color w:val="000000"/>
                <w:kern w:val="0"/>
              </w:rPr>
            </w:pPr>
          </w:p>
        </w:tc>
        <w:tc>
          <w:tcPr>
            <w:tcW w:w="112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color w:val="000000"/>
                <w:kern w:val="0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highlight w:val="none"/>
              </w:rPr>
              <w:t>社会效益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color w:val="000000"/>
                <w:kern w:val="0"/>
                <w:highlight w:val="none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highlight w:val="none"/>
              </w:rPr>
              <w:t>公众防治知识知晓率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/>
                <w:color w:val="000000"/>
                <w:kern w:val="0"/>
                <w:highlight w:val="none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highlight w:val="none"/>
                <w:lang w:val="en-US" w:eastAsia="zh-CN"/>
              </w:rPr>
              <w:t>绩效基本型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highlight w:val="none"/>
                <w:lang w:val="en-US" w:eastAsia="zh-CN"/>
              </w:rPr>
              <w:t>≥80%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highlight w:val="none"/>
                <w:lang w:val="en-US" w:eastAsia="zh-CN"/>
              </w:rPr>
              <w:t>73%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700" w:type="dxa"/>
            <w:vMerge w:val="restart"/>
            <w:noWrap w:val="0"/>
            <w:vAlign w:val="center"/>
          </w:tcPr>
          <w:p>
            <w:pPr>
              <w:widowControl/>
              <w:snapToGrid w:val="0"/>
              <w:jc w:val="both"/>
              <w:rPr>
                <w:rFonts w:ascii="仿宋_GB2312" w:hAnsi="宋体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</w:rPr>
              <w:t>可持续发展能力</w:t>
            </w:r>
          </w:p>
          <w:p>
            <w:pPr>
              <w:widowControl/>
              <w:snapToGrid w:val="0"/>
              <w:jc w:val="both"/>
              <w:rPr>
                <w:rFonts w:ascii="仿宋_GB2312" w:hAnsi="宋体" w:eastAsia="仿宋_GB2312"/>
                <w:color w:val="000000"/>
                <w:kern w:val="0"/>
              </w:rPr>
            </w:pPr>
            <w:bookmarkStart w:id="0" w:name="_GoBack"/>
            <w:bookmarkEnd w:id="0"/>
          </w:p>
        </w:tc>
        <w:tc>
          <w:tcPr>
            <w:tcW w:w="1122" w:type="dxa"/>
            <w:vMerge w:val="restart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</w:rPr>
              <w:t>体制机制改革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</w:rPr>
              <w:t>服务体制改革成效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lang w:val="en-US" w:eastAsia="zh-CN"/>
              </w:rPr>
              <w:t>绩效基本型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显著提升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显著提升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6" w:hRule="atLeas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700" w:type="dxa"/>
            <w:vMerge w:val="continue"/>
            <w:noWrap w:val="0"/>
            <w:vAlign w:val="center"/>
          </w:tcPr>
          <w:p>
            <w:pPr>
              <w:jc w:val="both"/>
              <w:rPr>
                <w:rFonts w:ascii="仿宋_GB2312" w:hAnsi="宋体" w:eastAsia="仿宋_GB2312" w:cs="仿宋_GB2312"/>
                <w:color w:val="000000"/>
                <w:kern w:val="0"/>
              </w:rPr>
            </w:pPr>
          </w:p>
        </w:tc>
        <w:tc>
          <w:tcPr>
            <w:tcW w:w="1122" w:type="dxa"/>
            <w:vMerge w:val="continue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</w:rPr>
            </w:pPr>
          </w:p>
        </w:tc>
        <w:tc>
          <w:tcPr>
            <w:tcW w:w="133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</w:rPr>
              <w:t>行政管理体制改革成效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绩效基本型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稳步前行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稳步进行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700" w:type="dxa"/>
            <w:vMerge w:val="continue"/>
            <w:noWrap w:val="0"/>
            <w:vAlign w:val="center"/>
          </w:tcPr>
          <w:p>
            <w:pPr>
              <w:jc w:val="both"/>
              <w:rPr>
                <w:rFonts w:ascii="仿宋_GB2312" w:hAnsi="宋体" w:eastAsia="仿宋_GB2312" w:cs="仿宋_GB2312"/>
                <w:color w:val="000000"/>
                <w:kern w:val="0"/>
              </w:rPr>
            </w:pPr>
          </w:p>
        </w:tc>
        <w:tc>
          <w:tcPr>
            <w:tcW w:w="1122" w:type="dxa"/>
            <w:vMerge w:val="restart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</w:rPr>
              <w:t>人才支撑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</w:rPr>
              <w:t>业务学习与培训完成率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绩效基本型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100%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100%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0" w:hRule="atLeas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700" w:type="dxa"/>
            <w:vMerge w:val="continue"/>
            <w:noWrap w:val="0"/>
            <w:vAlign w:val="center"/>
          </w:tcPr>
          <w:p>
            <w:pPr>
              <w:jc w:val="both"/>
              <w:rPr>
                <w:rFonts w:ascii="仿宋_GB2312" w:hAnsi="宋体" w:eastAsia="仿宋_GB2312" w:cs="仿宋_GB2312"/>
                <w:color w:val="000000"/>
                <w:kern w:val="0"/>
              </w:rPr>
            </w:pPr>
          </w:p>
        </w:tc>
        <w:tc>
          <w:tcPr>
            <w:tcW w:w="1122" w:type="dxa"/>
            <w:vMerge w:val="continue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</w:rPr>
            </w:pPr>
          </w:p>
        </w:tc>
        <w:tc>
          <w:tcPr>
            <w:tcW w:w="133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</w:rPr>
              <w:t>干部队伍体系建设规划情况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绩效基本型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规划完善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规划完善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700" w:type="dxa"/>
            <w:vMerge w:val="continue"/>
            <w:noWrap w:val="0"/>
            <w:vAlign w:val="center"/>
          </w:tcPr>
          <w:p>
            <w:pPr>
              <w:jc w:val="both"/>
              <w:rPr>
                <w:rFonts w:ascii="仿宋_GB2312" w:hAnsi="宋体" w:eastAsia="仿宋_GB2312" w:cs="仿宋_GB2312"/>
                <w:color w:val="000000"/>
                <w:kern w:val="0"/>
              </w:rPr>
            </w:pPr>
          </w:p>
        </w:tc>
        <w:tc>
          <w:tcPr>
            <w:tcW w:w="1122" w:type="dxa"/>
            <w:vMerge w:val="continue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</w:rPr>
            </w:pPr>
          </w:p>
        </w:tc>
        <w:tc>
          <w:tcPr>
            <w:tcW w:w="133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color w:val="000000"/>
                <w:kern w:val="0"/>
                <w:highlight w:val="none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highlight w:val="none"/>
              </w:rPr>
              <w:t>高学历、高层次人才储备率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/>
                <w:color w:val="000000"/>
                <w:kern w:val="0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highlight w:val="none"/>
                <w:lang w:val="en-US" w:eastAsia="zh-CN"/>
              </w:rPr>
              <w:t>绩效创新型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highlight w:val="none"/>
                <w:lang w:val="en-US" w:eastAsia="zh-CN"/>
              </w:rPr>
              <w:t>≥1%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2%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700" w:type="dxa"/>
            <w:vMerge w:val="continue"/>
            <w:noWrap w:val="0"/>
            <w:vAlign w:val="center"/>
          </w:tcPr>
          <w:p>
            <w:pPr>
              <w:widowControl/>
              <w:jc w:val="both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1122" w:type="dxa"/>
            <w:vMerge w:val="restart"/>
            <w:noWrap w:val="0"/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</w:rPr>
              <w:t>科技支撑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</w:rPr>
              <w:t>信息化建设情况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绩效基本型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完成年度建设任务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正在建设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700" w:type="dxa"/>
            <w:vMerge w:val="continue"/>
            <w:noWrap w:val="0"/>
            <w:vAlign w:val="center"/>
          </w:tcPr>
          <w:p>
            <w:pPr>
              <w:widowControl/>
              <w:snapToGrid w:val="0"/>
              <w:jc w:val="both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1122" w:type="dxa"/>
            <w:vMerge w:val="continue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color w:val="000000"/>
                <w:kern w:val="0"/>
              </w:rPr>
            </w:pPr>
          </w:p>
        </w:tc>
        <w:tc>
          <w:tcPr>
            <w:tcW w:w="133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lang w:val="en-US" w:eastAsia="zh-CN"/>
              </w:rPr>
              <w:t>智慧防治系统使用率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绩效创新型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≥90%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85%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828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700" w:type="dxa"/>
            <w:vMerge w:val="restart"/>
            <w:noWrap w:val="0"/>
            <w:vAlign w:val="center"/>
          </w:tcPr>
          <w:p>
            <w:pPr>
              <w:widowControl/>
              <w:jc w:val="both"/>
              <w:rPr>
                <w:rFonts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</w:rPr>
              <w:t>满意度</w:t>
            </w:r>
          </w:p>
        </w:tc>
        <w:tc>
          <w:tcPr>
            <w:tcW w:w="112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</w:rPr>
              <w:t>服务对象满意度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lang w:val="en-US" w:eastAsia="zh-CN"/>
              </w:rPr>
              <w:t>患者综合满意度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绩效基本型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≥90%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95%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828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  <w:u w:val="dotted"/>
              </w:rPr>
            </w:pPr>
          </w:p>
        </w:tc>
        <w:tc>
          <w:tcPr>
            <w:tcW w:w="700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</w:rPr>
            </w:pPr>
          </w:p>
        </w:tc>
        <w:tc>
          <w:tcPr>
            <w:tcW w:w="1122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hint="eastAsia" w:ascii="仿宋_GB2312" w:hAnsi="宋体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</w:rPr>
              <w:t>联系部门满意度</w:t>
            </w:r>
          </w:p>
        </w:tc>
        <w:tc>
          <w:tcPr>
            <w:tcW w:w="133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Segoe UI Emoji" w:hAnsi="Segoe UI Emoji" w:eastAsia="Segoe UI Emoji" w:cs="Segoe UI Emoji"/>
                <w:i w:val="0"/>
                <w:caps w:val="0"/>
                <w:color w:val="1F2329"/>
                <w:spacing w:val="0"/>
                <w:sz w:val="24"/>
                <w:szCs w:val="24"/>
                <w:shd w:val="clear" w:fill="EFF0F1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  <w:lang w:val="en-US" w:eastAsia="zh-CN"/>
              </w:rPr>
              <w:t>上级部门满意度</w:t>
            </w:r>
          </w:p>
        </w:tc>
        <w:tc>
          <w:tcPr>
            <w:tcW w:w="906" w:type="dxa"/>
            <w:noWrap w:val="0"/>
            <w:vAlign w:val="center"/>
          </w:tcPr>
          <w:p>
            <w:pPr>
              <w:widowControl/>
              <w:snapToGrid w:val="0"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绩效基本型</w:t>
            </w:r>
          </w:p>
        </w:tc>
        <w:tc>
          <w:tcPr>
            <w:tcW w:w="700" w:type="dxa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160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≥90%</w:t>
            </w:r>
          </w:p>
        </w:tc>
        <w:tc>
          <w:tcPr>
            <w:tcW w:w="131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92%</w:t>
            </w:r>
          </w:p>
        </w:tc>
        <w:tc>
          <w:tcPr>
            <w:tcW w:w="877" w:type="dxa"/>
            <w:noWrap w:val="0"/>
            <w:vAlign w:val="center"/>
          </w:tcPr>
          <w:p>
            <w:pPr>
              <w:widowControl/>
              <w:jc w:val="center"/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2" w:hRule="atLeast"/>
          <w:jc w:val="center"/>
        </w:trPr>
        <w:tc>
          <w:tcPr>
            <w:tcW w:w="828" w:type="dxa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</w:rPr>
              <w:t>总分</w:t>
            </w:r>
          </w:p>
        </w:tc>
        <w:tc>
          <w:tcPr>
            <w:tcW w:w="8120" w:type="dxa"/>
            <w:gridSpan w:val="9"/>
            <w:noWrap w:val="0"/>
            <w:vAlign w:val="center"/>
          </w:tcPr>
          <w:p>
            <w:pPr>
              <w:widowControl/>
              <w:jc w:val="center"/>
              <w:rPr>
                <w:rFonts w:hint="default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lang w:val="en-US" w:eastAsia="zh-CN"/>
              </w:rPr>
              <w:t>92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5" w:hRule="atLeast"/>
          <w:jc w:val="center"/>
        </w:trPr>
        <w:tc>
          <w:tcPr>
            <w:tcW w:w="1528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</w:rPr>
              <w:t>偏差大或</w:t>
            </w:r>
          </w:p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</w:rPr>
              <w:t>目标未完成</w:t>
            </w:r>
          </w:p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</w:rPr>
              <w:t>原因分析</w:t>
            </w:r>
          </w:p>
        </w:tc>
        <w:tc>
          <w:tcPr>
            <w:tcW w:w="7420" w:type="dxa"/>
            <w:gridSpan w:val="8"/>
            <w:noWrap w:val="0"/>
            <w:vAlign w:val="center"/>
          </w:tcPr>
          <w:p>
            <w:pPr>
              <w:widowControl/>
              <w:numPr>
                <w:ilvl w:val="0"/>
                <w:numId w:val="1"/>
              </w:numPr>
              <w:ind w:firstLine="420" w:firstLineChars="20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</w:rPr>
              <w:t>活动性肺结核登记率下降率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</w:rPr>
              <w:t>辖区流动人口增多，筛查与管理难度加大；​居民健康意识提升，主动就诊人数增加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;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</w:rPr>
              <w:t>基层医疗机构报告规范性提升，漏报减少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eastAsia="zh-CN"/>
              </w:rPr>
              <w:t>。</w:t>
            </w:r>
          </w:p>
          <w:p>
            <w:pPr>
              <w:widowControl/>
              <w:numPr>
                <w:ilvl w:val="0"/>
                <w:numId w:val="1"/>
              </w:numPr>
              <w:ind w:firstLine="420" w:firstLineChars="20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针对公众防治知识知晓率:宣传覆盖不足,健康科普宣传资源向农村地区、偏远社区及流动人口聚集地倾斜不够，存在宣传盲区；形式内容单一：宣传形式仍以传统海报、传单为主，线上新媒体传播力度不足；宣传内容偏专业化，缺乏通俗易懂、群众喜闻乐见的科普产品，导致传播效果不佳。</w:t>
            </w:r>
          </w:p>
          <w:p>
            <w:pPr>
              <w:widowControl/>
              <w:numPr>
                <w:ilvl w:val="0"/>
                <w:numId w:val="1"/>
              </w:numPr>
              <w:ind w:left="0" w:leftChars="0" w:firstLine="420" w:firstLineChars="20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智慧防治系统应用：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系统部分操作流程与临床实际工作习惯衔接不够紧密，存在操作步骤繁琐的问题，影响了医护人员的使用积极性;由于单位搬迁系统建设正在进行，新系统建设在新院区。</w:t>
            </w:r>
          </w:p>
          <w:p>
            <w:pPr>
              <w:widowControl/>
              <w:numPr>
                <w:ilvl w:val="0"/>
                <w:numId w:val="1"/>
              </w:numPr>
              <w:ind w:left="0" w:leftChars="0" w:firstLine="420" w:firstLineChars="200"/>
              <w:jc w:val="left"/>
              <w:rPr>
                <w:rFonts w:hint="eastAsia" w:ascii="仿宋_GB2312" w:hAnsi="宋体" w:eastAsia="仿宋_GB2312"/>
                <w:color w:val="000000"/>
                <w:kern w:val="0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药占比未达标：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结核病治疗主要是依靠药物治疗，造成药占比过高</w:t>
            </w:r>
            <w:r>
              <w:rPr>
                <w:rFonts w:hint="eastAsia" w:ascii="仿宋_GB2312" w:hAnsi="宋体" w:eastAsia="仿宋_GB2312" w:cs="Times New Roman"/>
                <w:kern w:val="0"/>
                <w:lang w:val="en-US"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9" w:hRule="atLeast"/>
          <w:jc w:val="center"/>
        </w:trPr>
        <w:tc>
          <w:tcPr>
            <w:tcW w:w="1528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</w:rPr>
              <w:t>改进措施及</w:t>
            </w:r>
          </w:p>
          <w:p>
            <w:pPr>
              <w:widowControl/>
              <w:jc w:val="center"/>
              <w:rPr>
                <w:rFonts w:ascii="仿宋_GB2312" w:hAnsi="宋体" w:eastAsia="仿宋_GB2312"/>
                <w:color w:val="000000"/>
                <w:kern w:val="0"/>
              </w:rPr>
            </w:pPr>
            <w:r>
              <w:rPr>
                <w:rFonts w:hint="eastAsia" w:ascii="仿宋_GB2312" w:hAnsi="宋体" w:eastAsia="仿宋_GB2312" w:cs="仿宋_GB2312"/>
                <w:color w:val="000000"/>
                <w:kern w:val="0"/>
              </w:rPr>
              <w:t>结果应用方案</w:t>
            </w:r>
          </w:p>
        </w:tc>
        <w:tc>
          <w:tcPr>
            <w:tcW w:w="7420" w:type="dxa"/>
            <w:gridSpan w:val="8"/>
            <w:noWrap w:val="0"/>
            <w:vAlign w:val="center"/>
          </w:tcPr>
          <w:p>
            <w:pPr>
              <w:widowControl/>
              <w:ind w:firstLine="420" w:firstLineChars="20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1.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强化重点人群精准筛查，从源头减少登记病例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: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强化重点人群精准筛查，每月开展重点场所筛查，每季度开展流动人口集中筛查，做到早发现、早干预，减少显性病例登记；优化筛查流程，结合智慧防治系统，对筛查阳性人员实行“一对一追踪”，规范转诊、诊断流程，避免漏筛导致的病例延迟登记，同时减少重复登记情况。​​</w:t>
            </w:r>
          </w:p>
          <w:p>
            <w:pPr>
              <w:widowControl/>
              <w:ind w:firstLine="420" w:firstLineChars="20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优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化登记管理流程，提升数据精准度：依托智慧防治系统，建立活动性肺结核登记数据动态监控机制，实时核对登记病例信息，剔除重复登记、虚假登记数据，确保登记数据精准，避免因数据冗余导致登记率偏高；明确登记标准，规范登记流程，对治愈、转阴、死亡的病例及时更新登记状态，避免无效登记，同时细化登记分类，提升登记管理的精细化水平，助力登记率稳步下降。</w:t>
            </w:r>
          </w:p>
          <w:p>
            <w:pPr>
              <w:widowControl/>
              <w:ind w:firstLine="420" w:firstLineChars="200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3.创新科普模式，提升公众健康知晓率：实施“精准科普”工程，针对农村和流动人口群体，组建“流动宣讲队”开展入户宣传；打造“结核防治小课堂”短视频系列，利用新媒体平台扩大传播覆盖面；编制图文并茂、简单易懂的科普手册，提升知识普及率。</w:t>
            </w:r>
          </w:p>
          <w:p>
            <w:pPr>
              <w:widowControl/>
              <w:ind w:firstLine="420" w:firstLineChars="200"/>
              <w:jc w:val="left"/>
              <w:rPr>
                <w:rFonts w:hint="default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4.优化系统应用，筑牢信息化支撑防线：开展“一对一”结对帮扶培训，由年轻骨干对老职工进行实操辅导；联合技术公司优化系统界面，简化操作流程，提升系统易用性；将系统使用率纳入科室及个人绩效考核，建立月度通报制度，确保2026年度使用率稳定达标。在新院区进行信息化建设，2026年建设全新的信息化系统。</w:t>
            </w:r>
          </w:p>
          <w:p>
            <w:pPr>
              <w:widowControl/>
              <w:ind w:firstLine="420" w:firstLineChars="200"/>
              <w:jc w:val="left"/>
              <w:rPr>
                <w:rFonts w:hint="default" w:ascii="仿宋_GB2312" w:hAnsi="宋体" w:eastAsia="仿宋_GB2312"/>
                <w:color w:val="000000"/>
                <w:kern w:val="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/>
              </w:rPr>
              <w:t>5.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</w:rPr>
              <w:t>严格执行事业单位药品集中采购政策，通过省级、市级药品集中采购平台采购抗结核药物及辅助药品，争取最优采购价格，降低药品采购成本，同时严控高价药品、进口药品的采购比例。</w:t>
            </w:r>
          </w:p>
          <w:p>
            <w:pPr>
              <w:widowControl/>
              <w:ind w:firstLine="420" w:firstLineChars="200"/>
              <w:jc w:val="left"/>
              <w:rPr>
                <w:rFonts w:ascii="仿宋_GB2312" w:hAnsi="宋体" w:eastAsia="仿宋_GB2312"/>
                <w:color w:val="000000"/>
                <w:kern w:val="0"/>
              </w:rPr>
            </w:pPr>
          </w:p>
        </w:tc>
      </w:tr>
    </w:tbl>
    <w:p>
      <w:pPr>
        <w:rPr>
          <w:vanish/>
          <w:color w:val="000000"/>
        </w:rPr>
      </w:pPr>
    </w:p>
    <w:tbl>
      <w:tblPr>
        <w:tblStyle w:val="24"/>
        <w:tblpPr w:leftFromText="180" w:rightFromText="180" w:vertAnchor="text" w:tblpX="16136" w:tblpY="-22258"/>
        <w:tblOverlap w:val="never"/>
        <w:tblW w:w="32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24" w:type="dxa"/>
            <w:noWrap w:val="0"/>
            <w:vAlign w:val="top"/>
          </w:tcPr>
          <w:p>
            <w:pPr>
              <w:widowControl/>
              <w:rPr>
                <w:rFonts w:ascii="仿宋_GB2312" w:hAnsi="宋体" w:eastAsia="仿宋_GB2312" w:cs="仿宋_GB2312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24" w:type="dxa"/>
            <w:noWrap w:val="0"/>
            <w:vAlign w:val="top"/>
          </w:tcPr>
          <w:p>
            <w:pPr>
              <w:widowControl/>
              <w:rPr>
                <w:rFonts w:ascii="仿宋_GB2312" w:hAnsi="宋体" w:eastAsia="仿宋_GB2312" w:cs="仿宋_GB2312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24" w:type="dxa"/>
            <w:noWrap w:val="0"/>
            <w:vAlign w:val="top"/>
          </w:tcPr>
          <w:p>
            <w:pPr>
              <w:widowControl/>
              <w:rPr>
                <w:rFonts w:ascii="仿宋_GB2312" w:hAnsi="宋体" w:eastAsia="仿宋_GB2312" w:cs="仿宋_GB2312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24" w:type="dxa"/>
            <w:noWrap w:val="0"/>
            <w:vAlign w:val="top"/>
          </w:tcPr>
          <w:p>
            <w:pPr>
              <w:widowControl/>
              <w:rPr>
                <w:rFonts w:ascii="仿宋_GB2312" w:hAnsi="宋体" w:eastAsia="仿宋_GB2312" w:cs="仿宋_GB2312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24" w:type="dxa"/>
            <w:noWrap w:val="0"/>
            <w:vAlign w:val="top"/>
          </w:tcPr>
          <w:p>
            <w:pPr>
              <w:widowControl/>
              <w:rPr>
                <w:rFonts w:ascii="仿宋_GB2312" w:hAnsi="宋体" w:eastAsia="仿宋_GB2312" w:cs="仿宋_GB2312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24" w:type="dxa"/>
            <w:noWrap w:val="0"/>
            <w:vAlign w:val="top"/>
          </w:tcPr>
          <w:p>
            <w:pPr>
              <w:widowControl/>
              <w:rPr>
                <w:rFonts w:ascii="仿宋_GB2312" w:hAnsi="宋体" w:eastAsia="仿宋_GB2312" w:cs="仿宋_GB2312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24" w:type="dxa"/>
            <w:noWrap w:val="0"/>
            <w:vAlign w:val="top"/>
          </w:tcPr>
          <w:p>
            <w:pPr>
              <w:widowControl/>
              <w:rPr>
                <w:rFonts w:ascii="仿宋_GB2312" w:hAnsi="宋体" w:eastAsia="仿宋_GB2312" w:cs="仿宋_GB2312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24" w:type="dxa"/>
            <w:noWrap w:val="0"/>
            <w:vAlign w:val="top"/>
          </w:tcPr>
          <w:p>
            <w:pPr>
              <w:widowControl/>
              <w:rPr>
                <w:rFonts w:ascii="仿宋_GB2312" w:hAnsi="宋体" w:eastAsia="仿宋_GB2312" w:cs="仿宋_GB2312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24" w:type="dxa"/>
            <w:noWrap w:val="0"/>
            <w:vAlign w:val="top"/>
          </w:tcPr>
          <w:p>
            <w:pPr>
              <w:widowControl/>
              <w:rPr>
                <w:rFonts w:ascii="仿宋_GB2312" w:hAnsi="宋体" w:eastAsia="仿宋_GB2312" w:cs="仿宋_GB2312"/>
                <w:color w:val="000000"/>
                <w:kern w:val="0"/>
                <w:sz w:val="20"/>
                <w:szCs w:val="2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324" w:type="dxa"/>
            <w:noWrap w:val="0"/>
            <w:vAlign w:val="top"/>
          </w:tcPr>
          <w:p>
            <w:pPr>
              <w:widowControl/>
              <w:rPr>
                <w:rFonts w:ascii="仿宋_GB2312" w:hAnsi="宋体" w:eastAsia="仿宋_GB2312" w:cs="仿宋_GB2312"/>
                <w:color w:val="000000"/>
                <w:kern w:val="0"/>
                <w:sz w:val="20"/>
                <w:szCs w:val="20"/>
              </w:rPr>
            </w:pPr>
          </w:p>
        </w:tc>
      </w:tr>
    </w:tbl>
    <w:p>
      <w:pPr>
        <w:rPr>
          <w:rFonts w:hint="eastAsia" w:ascii="黑体" w:hAnsi="宋体" w:eastAsia="黑体" w:cs="黑体"/>
          <w:sz w:val="32"/>
          <w:szCs w:val="32"/>
        </w:rPr>
        <w:sectPr>
          <w:footerReference r:id="rId3" w:type="default"/>
          <w:pgSz w:w="11906" w:h="16838"/>
          <w:pgMar w:top="1440" w:right="1800" w:bottom="1440" w:left="1800" w:header="851" w:footer="907" w:gutter="0"/>
          <w:pgNumType w:fmt="decimal" w:start="5"/>
          <w:cols w:space="425" w:num="1"/>
          <w:docGrid w:type="lines" w:linePitch="312" w:charSpace="0"/>
        </w:sectPr>
      </w:pPr>
      <w:r>
        <w:rPr>
          <w:rFonts w:hint="eastAsia" w:ascii="黑体" w:hAnsi="宋体" w:eastAsia="黑体" w:cs="黑体"/>
          <w:sz w:val="32"/>
          <w:szCs w:val="32"/>
        </w:rPr>
        <w:br w:type="page"/>
      </w:r>
    </w:p>
    <w:p>
      <w:pPr>
        <w:pStyle w:val="13"/>
        <w:ind w:left="0" w:leftChars="0" w:firstLine="0" w:firstLineChars="0"/>
      </w:pPr>
    </w:p>
    <w:sectPr>
      <w:pgSz w:w="11906" w:h="16838"/>
      <w:pgMar w:top="2098" w:right="1587" w:bottom="2098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Segoe UI Emoji">
    <w:panose1 w:val="020B0502040204020203"/>
    <w:charset w:val="00"/>
    <w:family w:val="auto"/>
    <w:pitch w:val="default"/>
    <w:sig w:usb0="00000001" w:usb1="02000000" w:usb2="08000000" w:usb3="00000000" w:csb0="0000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2"/>
      <w:ind w:left="420" w:leftChars="200" w:right="420" w:rightChars="200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12"/>
                  <w:ind w:left="420" w:leftChars="200" w:right="420" w:rightChars="200"/>
                </w:pPr>
                <w:r>
                  <w:rPr>
                    <w:rFonts w:hint="eastAsia" w:ascii="Times New Roman" w:hAnsi="Times New Roman" w:eastAsia="仿宋_GB2312" w:cs="仿宋_GB2312"/>
                    <w:sz w:val="28"/>
                    <w:szCs w:val="28"/>
                  </w:rPr>
                  <w:t>—</w:t>
                </w:r>
                <w:r>
                  <w:rPr>
                    <w:rFonts w:ascii="Times New Roman" w:hAnsi="Times New Roman" w:eastAsia="仿宋_GB2312"/>
                    <w:sz w:val="28"/>
                    <w:szCs w:val="28"/>
                  </w:rPr>
                  <w:fldChar w:fldCharType="begin"/>
                </w:r>
                <w:r>
                  <w:rPr>
                    <w:rFonts w:ascii="Times New Roman" w:hAnsi="Times New Roman" w:eastAsia="仿宋_GB2312"/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rFonts w:ascii="Times New Roman" w:hAnsi="Times New Roman" w:eastAsia="仿宋_GB2312"/>
                    <w:sz w:val="28"/>
                    <w:szCs w:val="28"/>
                  </w:rPr>
                  <w:fldChar w:fldCharType="separate"/>
                </w:r>
                <w:r>
                  <w:rPr>
                    <w:rFonts w:ascii="Times New Roman" w:hAnsi="Times New Roman" w:eastAsia="仿宋_GB2312"/>
                    <w:sz w:val="28"/>
                    <w:szCs w:val="28"/>
                  </w:rPr>
                  <w:t>1</w:t>
                </w:r>
                <w:r>
                  <w:rPr>
                    <w:rFonts w:ascii="Times New Roman" w:hAnsi="Times New Roman" w:eastAsia="仿宋_GB2312"/>
                    <w:sz w:val="28"/>
                    <w:szCs w:val="28"/>
                  </w:rPr>
                  <w:fldChar w:fldCharType="end"/>
                </w:r>
                <w:r>
                  <w:rPr>
                    <w:rFonts w:hint="eastAsia" w:ascii="Times New Roman" w:hAnsi="Times New Roman" w:eastAsia="仿宋_GB2312" w:cs="仿宋_GB2312"/>
                    <w:sz w:val="28"/>
                    <w:szCs w:val="28"/>
                  </w:rPr>
                  <w:t>—</w:t>
                </w:r>
              </w:p>
            </w:txbxContent>
          </v:textbox>
        </v:shape>
      </w:pict>
    </w:r>
  </w:p>
  <w:p>
    <w:pPr>
      <w:pStyle w:val="12"/>
      <w:ind w:right="360"/>
      <w:rPr>
        <w:rFonts w:cs="Times New Roman"/>
      </w:rPr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F90BE"/>
    <w:multiLevelType w:val="singleLevel"/>
    <w:tmpl w:val="534F90BE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00172A27"/>
    <w:rsid w:val="00002503"/>
    <w:rsid w:val="00013B97"/>
    <w:rsid w:val="000315FD"/>
    <w:rsid w:val="000639B8"/>
    <w:rsid w:val="000675A3"/>
    <w:rsid w:val="00082E7B"/>
    <w:rsid w:val="00092618"/>
    <w:rsid w:val="000B599B"/>
    <w:rsid w:val="00122842"/>
    <w:rsid w:val="00135CAF"/>
    <w:rsid w:val="00207343"/>
    <w:rsid w:val="00213892"/>
    <w:rsid w:val="002645B9"/>
    <w:rsid w:val="002744D0"/>
    <w:rsid w:val="0029730F"/>
    <w:rsid w:val="002B315D"/>
    <w:rsid w:val="002D3079"/>
    <w:rsid w:val="002E6E21"/>
    <w:rsid w:val="00336E4C"/>
    <w:rsid w:val="004277E2"/>
    <w:rsid w:val="00454808"/>
    <w:rsid w:val="004B0542"/>
    <w:rsid w:val="004C70E3"/>
    <w:rsid w:val="004D5902"/>
    <w:rsid w:val="004F4681"/>
    <w:rsid w:val="0054044B"/>
    <w:rsid w:val="00543EF6"/>
    <w:rsid w:val="00552C91"/>
    <w:rsid w:val="00566763"/>
    <w:rsid w:val="005A1B6B"/>
    <w:rsid w:val="005A4D58"/>
    <w:rsid w:val="005D286B"/>
    <w:rsid w:val="005E12FD"/>
    <w:rsid w:val="006341ED"/>
    <w:rsid w:val="00650820"/>
    <w:rsid w:val="006936A7"/>
    <w:rsid w:val="006965E3"/>
    <w:rsid w:val="006A01AE"/>
    <w:rsid w:val="006A190B"/>
    <w:rsid w:val="006C7750"/>
    <w:rsid w:val="006F382A"/>
    <w:rsid w:val="00717A3F"/>
    <w:rsid w:val="007972B5"/>
    <w:rsid w:val="007D479B"/>
    <w:rsid w:val="007E4F58"/>
    <w:rsid w:val="00844644"/>
    <w:rsid w:val="008B5B64"/>
    <w:rsid w:val="008F435E"/>
    <w:rsid w:val="0090681D"/>
    <w:rsid w:val="009436AB"/>
    <w:rsid w:val="0097472F"/>
    <w:rsid w:val="00974E46"/>
    <w:rsid w:val="00A016A4"/>
    <w:rsid w:val="00A446FD"/>
    <w:rsid w:val="00A86BB1"/>
    <w:rsid w:val="00AF2DBF"/>
    <w:rsid w:val="00B06A06"/>
    <w:rsid w:val="00B93D14"/>
    <w:rsid w:val="00BD3CBE"/>
    <w:rsid w:val="00BF0274"/>
    <w:rsid w:val="00BF655F"/>
    <w:rsid w:val="00CA20FD"/>
    <w:rsid w:val="00CC3066"/>
    <w:rsid w:val="00CD0C8B"/>
    <w:rsid w:val="00CF49E5"/>
    <w:rsid w:val="00D049EC"/>
    <w:rsid w:val="00D54B62"/>
    <w:rsid w:val="00D67401"/>
    <w:rsid w:val="00D77CC0"/>
    <w:rsid w:val="00D844D8"/>
    <w:rsid w:val="00D97E5F"/>
    <w:rsid w:val="00DE353F"/>
    <w:rsid w:val="00E56204"/>
    <w:rsid w:val="00E7180D"/>
    <w:rsid w:val="00E91B84"/>
    <w:rsid w:val="00EA3101"/>
    <w:rsid w:val="00EB572F"/>
    <w:rsid w:val="00ED0793"/>
    <w:rsid w:val="00ED584C"/>
    <w:rsid w:val="00F0066A"/>
    <w:rsid w:val="00F15A98"/>
    <w:rsid w:val="00F570A0"/>
    <w:rsid w:val="00F84547"/>
    <w:rsid w:val="00FB21E4"/>
    <w:rsid w:val="02B05E75"/>
    <w:rsid w:val="03FB0DF4"/>
    <w:rsid w:val="077833CD"/>
    <w:rsid w:val="07DD281D"/>
    <w:rsid w:val="0C4E5E32"/>
    <w:rsid w:val="0FF21991"/>
    <w:rsid w:val="1183057E"/>
    <w:rsid w:val="17EA4097"/>
    <w:rsid w:val="1DFF1153"/>
    <w:rsid w:val="1E45F715"/>
    <w:rsid w:val="1FE408CC"/>
    <w:rsid w:val="206D022E"/>
    <w:rsid w:val="211203D4"/>
    <w:rsid w:val="23DD1068"/>
    <w:rsid w:val="25B008D3"/>
    <w:rsid w:val="25D8737F"/>
    <w:rsid w:val="26662163"/>
    <w:rsid w:val="269B0DB9"/>
    <w:rsid w:val="27EA6138"/>
    <w:rsid w:val="294D3BB6"/>
    <w:rsid w:val="29A80723"/>
    <w:rsid w:val="2A020142"/>
    <w:rsid w:val="2C076F19"/>
    <w:rsid w:val="2E4B109E"/>
    <w:rsid w:val="2FFF6606"/>
    <w:rsid w:val="350F7EFE"/>
    <w:rsid w:val="39273355"/>
    <w:rsid w:val="3A5F6AA1"/>
    <w:rsid w:val="3AC702FC"/>
    <w:rsid w:val="3E7668E4"/>
    <w:rsid w:val="3FD467D1"/>
    <w:rsid w:val="40DA2813"/>
    <w:rsid w:val="46E9410E"/>
    <w:rsid w:val="47100A9F"/>
    <w:rsid w:val="497A5F98"/>
    <w:rsid w:val="49D246CF"/>
    <w:rsid w:val="4BB74A02"/>
    <w:rsid w:val="4FE32810"/>
    <w:rsid w:val="50F35535"/>
    <w:rsid w:val="55AF2676"/>
    <w:rsid w:val="57B81486"/>
    <w:rsid w:val="57C92D1E"/>
    <w:rsid w:val="58FD37D0"/>
    <w:rsid w:val="5B1E01CB"/>
    <w:rsid w:val="5BE62C0B"/>
    <w:rsid w:val="5DDD3D01"/>
    <w:rsid w:val="5F6F16D0"/>
    <w:rsid w:val="5FEFA8FC"/>
    <w:rsid w:val="699773EE"/>
    <w:rsid w:val="6A155836"/>
    <w:rsid w:val="6BC849C4"/>
    <w:rsid w:val="6F5E4911"/>
    <w:rsid w:val="6FBB76DD"/>
    <w:rsid w:val="6FCF2FC1"/>
    <w:rsid w:val="710F679E"/>
    <w:rsid w:val="713D55C8"/>
    <w:rsid w:val="71E07EF0"/>
    <w:rsid w:val="723A6C34"/>
    <w:rsid w:val="730AC28C"/>
    <w:rsid w:val="7334084B"/>
    <w:rsid w:val="77478B0B"/>
    <w:rsid w:val="77AB8444"/>
    <w:rsid w:val="781452DA"/>
    <w:rsid w:val="7B317800"/>
    <w:rsid w:val="7B85358A"/>
    <w:rsid w:val="7BBEA400"/>
    <w:rsid w:val="7BFE6205"/>
    <w:rsid w:val="7D0A019C"/>
    <w:rsid w:val="7E971056"/>
    <w:rsid w:val="7EEE1BFD"/>
    <w:rsid w:val="7EFFD495"/>
    <w:rsid w:val="7FDBA8AA"/>
    <w:rsid w:val="7FFBF816"/>
    <w:rsid w:val="7FFE0E52"/>
    <w:rsid w:val="7FFF74DF"/>
    <w:rsid w:val="93D7E7B7"/>
    <w:rsid w:val="9EBF8E48"/>
    <w:rsid w:val="B6ADA488"/>
    <w:rsid w:val="B6FF97CE"/>
    <w:rsid w:val="BFAF921E"/>
    <w:rsid w:val="BFE88B80"/>
    <w:rsid w:val="C12F551D"/>
    <w:rsid w:val="C9EFA0B2"/>
    <w:rsid w:val="EDEE1F9C"/>
    <w:rsid w:val="EDFB8E90"/>
    <w:rsid w:val="EE7C68C6"/>
    <w:rsid w:val="EFFBBD6C"/>
    <w:rsid w:val="F0EF97D1"/>
    <w:rsid w:val="F36C7C01"/>
    <w:rsid w:val="F8FA53B8"/>
    <w:rsid w:val="FBE2CC08"/>
    <w:rsid w:val="FF7F4AEB"/>
    <w:rsid w:val="FFFF4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99" w:name="Date"/>
    <w:lsdException w:uiPriority="99" w:name="Body Text First Indent"/>
    <w:lsdException w:qFormat="1"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99" w:semiHidden="0" w:name="Hyperlink"/>
    <w:lsdException w:qFormat="1" w:unhideWhenUsed="0"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nhideWhenUsed="0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等线" w:hAnsi="等线" w:eastAsia="等线" w:cs="等线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25"/>
    <w:qFormat/>
    <w:uiPriority w:val="9"/>
    <w:pPr>
      <w:keepNext/>
      <w:keepLines/>
      <w:spacing w:before="240" w:after="120"/>
      <w:jc w:val="center"/>
      <w:outlineLvl w:val="0"/>
    </w:pPr>
    <w:rPr>
      <w:rFonts w:eastAsia="方正小标宋简体"/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26"/>
    <w:qFormat/>
    <w:uiPriority w:val="99"/>
    <w:pPr>
      <w:keepNext/>
      <w:keepLines/>
      <w:jc w:val="left"/>
      <w:outlineLvl w:val="1"/>
    </w:pPr>
    <w:rPr>
      <w:rFonts w:eastAsia="黑体"/>
      <w:b/>
      <w:bCs/>
      <w:kern w:val="0"/>
      <w:sz w:val="30"/>
      <w:szCs w:val="32"/>
    </w:rPr>
  </w:style>
  <w:style w:type="paragraph" w:styleId="4">
    <w:name w:val="heading 3"/>
    <w:basedOn w:val="1"/>
    <w:next w:val="1"/>
    <w:link w:val="27"/>
    <w:qFormat/>
    <w:uiPriority w:val="9"/>
    <w:pPr>
      <w:keepNext/>
      <w:keepLines/>
      <w:jc w:val="left"/>
      <w:outlineLvl w:val="2"/>
    </w:pPr>
    <w:rPr>
      <w:b/>
      <w:bCs/>
      <w:kern w:val="0"/>
      <w:szCs w:val="32"/>
    </w:rPr>
  </w:style>
  <w:style w:type="paragraph" w:styleId="5">
    <w:name w:val="heading 4"/>
    <w:basedOn w:val="1"/>
    <w:next w:val="1"/>
    <w:link w:val="28"/>
    <w:qFormat/>
    <w:uiPriority w:val="9"/>
    <w:pPr>
      <w:keepNext/>
      <w:keepLines/>
      <w:outlineLvl w:val="3"/>
    </w:pPr>
    <w:rPr>
      <w:b/>
      <w:bCs/>
      <w:szCs w:val="28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24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annotation subject"/>
    <w:basedOn w:val="7"/>
    <w:next w:val="7"/>
    <w:link w:val="36"/>
    <w:semiHidden/>
    <w:qFormat/>
    <w:uiPriority w:val="99"/>
    <w:rPr>
      <w:b/>
      <w:bCs/>
    </w:rPr>
  </w:style>
  <w:style w:type="paragraph" w:styleId="7">
    <w:name w:val="annotation text"/>
    <w:basedOn w:val="1"/>
    <w:link w:val="29"/>
    <w:unhideWhenUsed/>
    <w:qFormat/>
    <w:uiPriority w:val="99"/>
    <w:pPr>
      <w:jc w:val="left"/>
    </w:pPr>
  </w:style>
  <w:style w:type="paragraph" w:styleId="8">
    <w:name w:val="Body Text Indent"/>
    <w:basedOn w:val="1"/>
    <w:semiHidden/>
    <w:unhideWhenUsed/>
    <w:qFormat/>
    <w:uiPriority w:val="99"/>
    <w:pPr>
      <w:spacing w:after="120" w:afterLines="0" w:afterAutospacing="0"/>
      <w:ind w:left="420" w:leftChars="200"/>
    </w:pPr>
  </w:style>
  <w:style w:type="paragraph" w:styleId="9">
    <w:name w:val="toc 3"/>
    <w:basedOn w:val="1"/>
    <w:next w:val="1"/>
    <w:unhideWhenUsed/>
    <w:qFormat/>
    <w:uiPriority w:val="39"/>
    <w:pPr>
      <w:ind w:left="840" w:leftChars="400"/>
    </w:pPr>
  </w:style>
  <w:style w:type="paragraph" w:styleId="10">
    <w:name w:val="Date"/>
    <w:basedOn w:val="1"/>
    <w:next w:val="1"/>
    <w:link w:val="37"/>
    <w:semiHidden/>
    <w:qFormat/>
    <w:uiPriority w:val="99"/>
    <w:pPr>
      <w:ind w:left="100" w:leftChars="2500"/>
    </w:pPr>
  </w:style>
  <w:style w:type="paragraph" w:styleId="11">
    <w:name w:val="Balloon Text"/>
    <w:basedOn w:val="1"/>
    <w:link w:val="38"/>
    <w:semiHidden/>
    <w:qFormat/>
    <w:uiPriority w:val="99"/>
    <w:rPr>
      <w:sz w:val="18"/>
      <w:szCs w:val="18"/>
    </w:rPr>
  </w:style>
  <w:style w:type="paragraph" w:styleId="12">
    <w:name w:val="footer"/>
    <w:basedOn w:val="1"/>
    <w:link w:val="3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Body Text First Indent 2"/>
    <w:basedOn w:val="8"/>
    <w:semiHidden/>
    <w:unhideWhenUsed/>
    <w:qFormat/>
    <w:uiPriority w:val="99"/>
    <w:pPr>
      <w:ind w:firstLine="420" w:firstLineChars="200"/>
    </w:pPr>
  </w:style>
  <w:style w:type="paragraph" w:styleId="14">
    <w:name w:val="header"/>
    <w:basedOn w:val="1"/>
    <w:link w:val="40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5">
    <w:name w:val="toc 1"/>
    <w:basedOn w:val="1"/>
    <w:next w:val="1"/>
    <w:unhideWhenUsed/>
    <w:qFormat/>
    <w:uiPriority w:val="39"/>
    <w:pPr>
      <w:tabs>
        <w:tab w:val="right" w:leader="dot" w:pos="9060"/>
      </w:tabs>
      <w:spacing w:line="440" w:lineRule="exact"/>
    </w:pPr>
    <w:rPr>
      <w:rFonts w:eastAsia="黑体"/>
      <w:b/>
      <w:sz w:val="24"/>
    </w:rPr>
  </w:style>
  <w:style w:type="paragraph" w:styleId="16">
    <w:name w:val="toc 2"/>
    <w:basedOn w:val="1"/>
    <w:next w:val="1"/>
    <w:unhideWhenUsed/>
    <w:qFormat/>
    <w:uiPriority w:val="39"/>
    <w:pPr>
      <w:ind w:left="420" w:leftChars="200"/>
    </w:pPr>
  </w:style>
  <w:style w:type="paragraph" w:styleId="17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rFonts w:ascii="Calibri" w:hAnsi="Calibri" w:eastAsia="宋体" w:cs="Calibri"/>
      <w:kern w:val="0"/>
      <w:sz w:val="24"/>
      <w:szCs w:val="24"/>
    </w:rPr>
  </w:style>
  <w:style w:type="character" w:styleId="19">
    <w:name w:val="Strong"/>
    <w:qFormat/>
    <w:uiPriority w:val="22"/>
    <w:rPr>
      <w:b/>
      <w:bCs/>
    </w:rPr>
  </w:style>
  <w:style w:type="character" w:styleId="20">
    <w:name w:val="page number"/>
    <w:basedOn w:val="18"/>
    <w:qFormat/>
    <w:uiPriority w:val="99"/>
  </w:style>
  <w:style w:type="character" w:styleId="21">
    <w:name w:val="FollowedHyperlink"/>
    <w:semiHidden/>
    <w:qFormat/>
    <w:uiPriority w:val="99"/>
    <w:rPr>
      <w:color w:val="800080"/>
      <w:u w:val="single"/>
    </w:rPr>
  </w:style>
  <w:style w:type="character" w:styleId="22">
    <w:name w:val="Hyperlink"/>
    <w:qFormat/>
    <w:uiPriority w:val="99"/>
    <w:rPr>
      <w:color w:val="0000FF"/>
      <w:u w:val="single"/>
    </w:rPr>
  </w:style>
  <w:style w:type="character" w:styleId="23">
    <w:name w:val="annotation reference"/>
    <w:unhideWhenUsed/>
    <w:qFormat/>
    <w:uiPriority w:val="99"/>
    <w:rPr>
      <w:sz w:val="21"/>
      <w:szCs w:val="21"/>
    </w:rPr>
  </w:style>
  <w:style w:type="character" w:customStyle="1" w:styleId="25">
    <w:name w:val="标题 1 Char"/>
    <w:link w:val="2"/>
    <w:qFormat/>
    <w:uiPriority w:val="9"/>
    <w:rPr>
      <w:rFonts w:ascii="Times New Roman" w:hAnsi="Times New Roman" w:eastAsia="方正小标宋简体"/>
      <w:b/>
      <w:bCs/>
      <w:kern w:val="44"/>
      <w:sz w:val="44"/>
      <w:szCs w:val="44"/>
    </w:rPr>
  </w:style>
  <w:style w:type="character" w:customStyle="1" w:styleId="26">
    <w:name w:val="标题 2 Char"/>
    <w:link w:val="3"/>
    <w:qFormat/>
    <w:uiPriority w:val="9"/>
    <w:rPr>
      <w:rFonts w:ascii="Times New Roman" w:hAnsi="Times New Roman" w:eastAsia="黑体"/>
      <w:b/>
      <w:bCs/>
      <w:sz w:val="30"/>
      <w:szCs w:val="32"/>
    </w:rPr>
  </w:style>
  <w:style w:type="character" w:customStyle="1" w:styleId="27">
    <w:name w:val="标题 3 Char"/>
    <w:link w:val="4"/>
    <w:qFormat/>
    <w:uiPriority w:val="9"/>
    <w:rPr>
      <w:rFonts w:ascii="Times New Roman" w:hAnsi="Times New Roman" w:eastAsia="仿宋_GB2312"/>
      <w:b/>
      <w:bCs/>
      <w:sz w:val="28"/>
      <w:szCs w:val="32"/>
    </w:rPr>
  </w:style>
  <w:style w:type="character" w:customStyle="1" w:styleId="28">
    <w:name w:val="标题 4 Char"/>
    <w:link w:val="5"/>
    <w:qFormat/>
    <w:uiPriority w:val="9"/>
    <w:rPr>
      <w:rFonts w:ascii="Times New Roman" w:hAnsi="Times New Roman" w:eastAsia="仿宋_GB2312"/>
      <w:b/>
      <w:bCs/>
      <w:kern w:val="2"/>
      <w:sz w:val="28"/>
      <w:szCs w:val="28"/>
    </w:rPr>
  </w:style>
  <w:style w:type="character" w:customStyle="1" w:styleId="29">
    <w:name w:val="批注文字 Char"/>
    <w:link w:val="7"/>
    <w:qFormat/>
    <w:uiPriority w:val="99"/>
    <w:rPr>
      <w:rFonts w:ascii="Times New Roman" w:hAnsi="Times New Roman" w:eastAsia="仿宋_GB2312"/>
      <w:kern w:val="2"/>
      <w:sz w:val="28"/>
      <w:szCs w:val="24"/>
    </w:rPr>
  </w:style>
  <w:style w:type="paragraph" w:styleId="30">
    <w:name w:val="No Spacing"/>
    <w:qFormat/>
    <w:uiPriority w:val="1"/>
    <w:pPr>
      <w:widowControl w:val="0"/>
      <w:topLinePunct/>
      <w:ind w:firstLine="200" w:firstLineChars="200"/>
      <w:jc w:val="both"/>
    </w:pPr>
    <w:rPr>
      <w:rFonts w:ascii="Times New Roman" w:hAnsi="Times New Roman" w:eastAsia="仿宋_GB2312" w:cs="Times New Roman"/>
      <w:kern w:val="2"/>
      <w:sz w:val="28"/>
      <w:szCs w:val="24"/>
      <w:lang w:val="en-US" w:eastAsia="zh-CN" w:bidi="ar-SA"/>
    </w:rPr>
  </w:style>
  <w:style w:type="paragraph" w:styleId="31">
    <w:name w:val="List Paragraph"/>
    <w:basedOn w:val="1"/>
    <w:qFormat/>
    <w:uiPriority w:val="99"/>
    <w:pPr>
      <w:ind w:firstLine="420"/>
    </w:pPr>
  </w:style>
  <w:style w:type="paragraph" w:customStyle="1" w:styleId="32">
    <w:name w:val="TOC Heading"/>
    <w:basedOn w:val="2"/>
    <w:next w:val="1"/>
    <w:qFormat/>
    <w:uiPriority w:val="39"/>
    <w:pPr>
      <w:widowControl/>
      <w:spacing w:before="480" w:after="0" w:line="276" w:lineRule="auto"/>
      <w:jc w:val="left"/>
      <w:outlineLvl w:val="9"/>
    </w:pPr>
    <w:rPr>
      <w:rFonts w:ascii="Cambria" w:hAnsi="Cambria" w:eastAsia="宋体"/>
      <w:color w:val="365F91"/>
      <w:kern w:val="0"/>
      <w:sz w:val="28"/>
      <w:szCs w:val="28"/>
    </w:rPr>
  </w:style>
  <w:style w:type="paragraph" w:customStyle="1" w:styleId="33">
    <w:name w:val="目录 31"/>
    <w:basedOn w:val="1"/>
    <w:next w:val="1"/>
    <w:unhideWhenUsed/>
    <w:qFormat/>
    <w:uiPriority w:val="39"/>
    <w:pPr>
      <w:ind w:left="560"/>
      <w:jc w:val="left"/>
    </w:pPr>
    <w:rPr>
      <w:rFonts w:ascii="Calibri" w:hAnsi="Calibri" w:cs="Calibri"/>
      <w:i/>
      <w:iCs/>
      <w:sz w:val="20"/>
      <w:szCs w:val="20"/>
    </w:rPr>
  </w:style>
  <w:style w:type="paragraph" w:customStyle="1" w:styleId="34">
    <w:name w:val="目录 11"/>
    <w:basedOn w:val="1"/>
    <w:next w:val="1"/>
    <w:unhideWhenUsed/>
    <w:qFormat/>
    <w:uiPriority w:val="39"/>
    <w:pPr>
      <w:spacing w:before="120" w:after="120"/>
      <w:jc w:val="left"/>
    </w:pPr>
    <w:rPr>
      <w:rFonts w:ascii="Calibri" w:hAnsi="Calibri" w:cs="Calibri"/>
      <w:b/>
      <w:bCs/>
      <w:caps/>
      <w:sz w:val="20"/>
      <w:szCs w:val="20"/>
    </w:rPr>
  </w:style>
  <w:style w:type="paragraph" w:customStyle="1" w:styleId="35">
    <w:name w:val="目录 21"/>
    <w:basedOn w:val="1"/>
    <w:next w:val="1"/>
    <w:unhideWhenUsed/>
    <w:qFormat/>
    <w:uiPriority w:val="39"/>
    <w:pPr>
      <w:ind w:left="280"/>
      <w:jc w:val="left"/>
    </w:pPr>
    <w:rPr>
      <w:rFonts w:ascii="Calibri" w:hAnsi="Calibri" w:cs="Calibri"/>
      <w:smallCaps/>
      <w:sz w:val="20"/>
      <w:szCs w:val="20"/>
    </w:rPr>
  </w:style>
  <w:style w:type="character" w:customStyle="1" w:styleId="36">
    <w:name w:val="批注主题 Char"/>
    <w:basedOn w:val="29"/>
    <w:link w:val="6"/>
    <w:semiHidden/>
    <w:qFormat/>
    <w:uiPriority w:val="99"/>
    <w:rPr>
      <w:rFonts w:ascii="等线" w:hAnsi="等线" w:eastAsia="等线" w:cs="等线"/>
      <w:b/>
      <w:bCs/>
      <w:sz w:val="21"/>
      <w:szCs w:val="21"/>
    </w:rPr>
  </w:style>
  <w:style w:type="character" w:customStyle="1" w:styleId="37">
    <w:name w:val="日期 Char"/>
    <w:basedOn w:val="18"/>
    <w:link w:val="10"/>
    <w:semiHidden/>
    <w:qFormat/>
    <w:uiPriority w:val="99"/>
    <w:rPr>
      <w:rFonts w:ascii="等线" w:hAnsi="等线" w:eastAsia="等线" w:cs="等线"/>
      <w:kern w:val="2"/>
      <w:sz w:val="21"/>
      <w:szCs w:val="21"/>
    </w:rPr>
  </w:style>
  <w:style w:type="character" w:customStyle="1" w:styleId="38">
    <w:name w:val="批注框文本 Char"/>
    <w:basedOn w:val="18"/>
    <w:link w:val="11"/>
    <w:semiHidden/>
    <w:qFormat/>
    <w:uiPriority w:val="99"/>
    <w:rPr>
      <w:rFonts w:ascii="等线" w:hAnsi="等线" w:eastAsia="等线" w:cs="等线"/>
      <w:kern w:val="2"/>
      <w:sz w:val="18"/>
      <w:szCs w:val="18"/>
    </w:rPr>
  </w:style>
  <w:style w:type="character" w:customStyle="1" w:styleId="39">
    <w:name w:val="页脚 Char"/>
    <w:basedOn w:val="18"/>
    <w:link w:val="12"/>
    <w:qFormat/>
    <w:uiPriority w:val="99"/>
    <w:rPr>
      <w:rFonts w:ascii="等线" w:hAnsi="等线" w:eastAsia="等线" w:cs="等线"/>
      <w:kern w:val="2"/>
      <w:sz w:val="18"/>
      <w:szCs w:val="18"/>
    </w:rPr>
  </w:style>
  <w:style w:type="character" w:customStyle="1" w:styleId="40">
    <w:name w:val="页眉 Char"/>
    <w:basedOn w:val="18"/>
    <w:link w:val="14"/>
    <w:qFormat/>
    <w:uiPriority w:val="99"/>
    <w:rPr>
      <w:rFonts w:ascii="等线" w:hAnsi="等线" w:eastAsia="等线" w:cs="等线"/>
      <w:kern w:val="2"/>
      <w:sz w:val="18"/>
      <w:szCs w:val="18"/>
    </w:rPr>
  </w:style>
  <w:style w:type="paragraph" w:customStyle="1" w:styleId="41">
    <w:name w:val="msonormal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42">
    <w:name w:val="xl77"/>
    <w:basedOn w:val="1"/>
    <w:qFormat/>
    <w:uiPriority w:val="99"/>
    <w:pPr>
      <w:widowControl/>
      <w:shd w:val="clear" w:color="000000" w:fill="FFFFFF"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0"/>
      <w:szCs w:val="20"/>
    </w:rPr>
  </w:style>
  <w:style w:type="paragraph" w:customStyle="1" w:styleId="43">
    <w:name w:val="xl78"/>
    <w:basedOn w:val="1"/>
    <w:qFormat/>
    <w:uiPriority w:val="99"/>
    <w:pPr>
      <w:widowControl/>
      <w:shd w:val="clear" w:color="000000" w:fill="FFFFFF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44">
    <w:name w:val="xl7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C0C0C0"/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45">
    <w:name w:val="xl8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C0C0FF"/>
      <w:spacing w:before="100" w:beforeAutospacing="1" w:after="100" w:afterAutospacing="1"/>
      <w:jc w:val="right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46">
    <w:name w:val="xl8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C0"/>
      <w:spacing w:before="100" w:beforeAutospacing="1" w:after="100" w:afterAutospacing="1"/>
      <w:jc w:val="right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47">
    <w:name w:val="xl8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C0C0FF"/>
      <w:spacing w:before="100" w:beforeAutospacing="1" w:after="100" w:afterAutospacing="1"/>
      <w:jc w:val="right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48">
    <w:name w:val="xl8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C0"/>
      <w:spacing w:before="100" w:beforeAutospacing="1" w:after="100" w:afterAutospacing="1"/>
      <w:jc w:val="right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49">
    <w:name w:val="xl84"/>
    <w:basedOn w:val="1"/>
    <w:qFormat/>
    <w:uiPriority w:val="99"/>
    <w:pPr>
      <w:widowControl/>
      <w:pBdr>
        <w:left w:val="single" w:color="auto" w:sz="4" w:space="0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50">
    <w:name w:val="xl85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C0C0FF"/>
      <w:spacing w:before="100" w:beforeAutospacing="1" w:after="100" w:afterAutospacing="1"/>
      <w:jc w:val="left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51">
    <w:name w:val="xl8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C0"/>
      <w:spacing w:before="100" w:beforeAutospacing="1" w:after="100" w:afterAutospacing="1"/>
      <w:jc w:val="right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52">
    <w:name w:val="xl8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C0"/>
      <w:spacing w:before="100" w:beforeAutospacing="1" w:after="100" w:afterAutospacing="1"/>
      <w:jc w:val="right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53">
    <w:name w:val="xl8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FFFFC0"/>
      <w:spacing w:before="100" w:beforeAutospacing="1" w:after="100" w:afterAutospacing="1"/>
      <w:jc w:val="right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54">
    <w:name w:val="xl8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C0C0FF"/>
      <w:spacing w:before="100" w:beforeAutospacing="1" w:after="100" w:afterAutospacing="1"/>
      <w:jc w:val="right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55">
    <w:name w:val="xl9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56">
    <w:name w:val="xl91"/>
    <w:basedOn w:val="1"/>
    <w:qFormat/>
    <w:uiPriority w:val="99"/>
    <w:pPr>
      <w:widowControl/>
      <w:pBdr>
        <w:top w:val="single" w:color="auto" w:sz="4" w:space="0"/>
        <w:left w:val="single" w:color="auto" w:sz="4" w:space="0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57">
    <w:name w:val="xl9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58">
    <w:name w:val="xl93"/>
    <w:basedOn w:val="1"/>
    <w:qFormat/>
    <w:uiPriority w:val="99"/>
    <w:pPr>
      <w:widowControl/>
      <w:pBdr>
        <w:top w:val="single" w:color="auto" w:sz="4" w:space="0"/>
        <w:left w:val="single" w:color="auto" w:sz="4" w:space="0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59">
    <w:name w:val="xl9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60">
    <w:name w:val="xl95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61">
    <w:name w:val="xl96"/>
    <w:basedOn w:val="1"/>
    <w:qFormat/>
    <w:uiPriority w:val="99"/>
    <w:pPr>
      <w:widowControl/>
      <w:pBdr>
        <w:left w:val="single" w:color="auto" w:sz="4" w:space="0"/>
        <w:bottom w:val="single" w:color="auto" w:sz="4" w:space="0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62">
    <w:name w:val="xl97"/>
    <w:basedOn w:val="1"/>
    <w:qFormat/>
    <w:uiPriority w:val="99"/>
    <w:pPr>
      <w:widowControl/>
      <w:pBdr>
        <w:left w:val="single" w:color="auto" w:sz="4" w:space="0"/>
        <w:bottom w:val="single" w:color="auto" w:sz="4" w:space="0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63">
    <w:name w:val="xl98"/>
    <w:basedOn w:val="1"/>
    <w:qFormat/>
    <w:uiPriority w:val="99"/>
    <w:pPr>
      <w:widowControl/>
      <w:pBdr>
        <w:top w:val="single" w:color="auto" w:sz="4" w:space="0"/>
        <w:left w:val="single" w:color="auto" w:sz="4" w:space="0"/>
        <w:right w:val="single" w:color="auto" w:sz="4" w:space="0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64">
    <w:name w:val="xl99"/>
    <w:basedOn w:val="1"/>
    <w:qFormat/>
    <w:uiPriority w:val="99"/>
    <w:pPr>
      <w:widowControl/>
      <w:pBdr>
        <w:left w:val="single" w:color="auto" w:sz="4" w:space="0"/>
        <w:right w:val="single" w:color="auto" w:sz="4" w:space="0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65">
    <w:name w:val="xl100"/>
    <w:basedOn w:val="1"/>
    <w:qFormat/>
    <w:uiPriority w:val="99"/>
    <w:pPr>
      <w:widowControl/>
      <w:pBdr>
        <w:left w:val="single" w:color="auto" w:sz="4" w:space="0"/>
        <w:bottom w:val="single" w:color="auto" w:sz="4" w:space="0"/>
        <w:right w:val="single" w:color="auto" w:sz="4" w:space="0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kern w:val="0"/>
      <w:sz w:val="20"/>
      <w:szCs w:val="20"/>
    </w:rPr>
  </w:style>
  <w:style w:type="paragraph" w:customStyle="1" w:styleId="66">
    <w:name w:val="抄 送"/>
    <w:basedOn w:val="1"/>
    <w:qFormat/>
    <w:uiPriority w:val="0"/>
    <w:pPr>
      <w:framePr w:wrap="notBeside" w:vAnchor="margin" w:hAnchor="margin" w:yAlign="bottom"/>
    </w:pPr>
    <w:rPr>
      <w:rFonts w:ascii="Calibri" w:hAnsi="Calibri" w:eastAsia="仿宋_GB2312" w:cs="Calibri"/>
      <w:sz w:val="32"/>
      <w:szCs w:val="32"/>
    </w:rPr>
  </w:style>
  <w:style w:type="paragraph" w:customStyle="1" w:styleId="67">
    <w:name w:val="xl65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68">
    <w:name w:val="xl6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18"/>
      <w:szCs w:val="18"/>
    </w:rPr>
  </w:style>
  <w:style w:type="paragraph" w:customStyle="1" w:styleId="69">
    <w:name w:val="xl67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b/>
      <w:bCs/>
      <w:kern w:val="0"/>
      <w:sz w:val="18"/>
      <w:szCs w:val="18"/>
    </w:rPr>
  </w:style>
  <w:style w:type="paragraph" w:customStyle="1" w:styleId="70">
    <w:name w:val="xl68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71">
    <w:name w:val="xl69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rFonts w:ascii="宋体" w:hAnsi="宋体" w:eastAsia="宋体" w:cs="宋体"/>
      <w:b/>
      <w:bCs/>
      <w:kern w:val="0"/>
      <w:sz w:val="24"/>
      <w:szCs w:val="24"/>
    </w:rPr>
  </w:style>
  <w:style w:type="paragraph" w:customStyle="1" w:styleId="72">
    <w:name w:val="xl70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kern w:val="0"/>
      <w:sz w:val="24"/>
      <w:szCs w:val="24"/>
    </w:rPr>
  </w:style>
  <w:style w:type="paragraph" w:customStyle="1" w:styleId="73">
    <w:name w:val="xl71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right"/>
    </w:pPr>
    <w:rPr>
      <w:rFonts w:ascii="宋体" w:hAnsi="宋体" w:eastAsia="宋体" w:cs="宋体"/>
      <w:kern w:val="0"/>
      <w:sz w:val="24"/>
      <w:szCs w:val="24"/>
    </w:rPr>
  </w:style>
  <w:style w:type="paragraph" w:customStyle="1" w:styleId="74">
    <w:name w:val="xl72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75">
    <w:name w:val="xl73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18"/>
      <w:szCs w:val="18"/>
    </w:rPr>
  </w:style>
  <w:style w:type="paragraph" w:customStyle="1" w:styleId="76">
    <w:name w:val="xl74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16"/>
      <w:szCs w:val="16"/>
    </w:rPr>
  </w:style>
  <w:style w:type="paragraph" w:customStyle="1" w:styleId="77">
    <w:name w:val="xl75"/>
    <w:basedOn w:val="1"/>
    <w:qFormat/>
    <w:uiPriority w:val="99"/>
    <w:pPr>
      <w:widowControl/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0"/>
      <w:szCs w:val="20"/>
    </w:rPr>
  </w:style>
  <w:style w:type="paragraph" w:customStyle="1" w:styleId="78">
    <w:name w:val="xl76"/>
    <w:basedOn w:val="1"/>
    <w:qFormat/>
    <w:uiPriority w:val="99"/>
    <w:pPr>
      <w:widowControl/>
      <w:pBdr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pBdr>
      <w:spacing w:before="100" w:beforeAutospacing="1" w:after="100" w:afterAutospacing="1"/>
      <w:jc w:val="center"/>
    </w:pPr>
    <w:rPr>
      <w:rFonts w:ascii="宋体" w:hAnsi="宋体" w:eastAsia="宋体" w:cs="宋体"/>
      <w:b/>
      <w:bCs/>
      <w:kern w:val="0"/>
      <w:sz w:val="20"/>
      <w:szCs w:val="20"/>
    </w:rPr>
  </w:style>
  <w:style w:type="paragraph" w:customStyle="1" w:styleId="79">
    <w:name w:val="列出段落1"/>
    <w:basedOn w:val="1"/>
    <w:qFormat/>
    <w:uiPriority w:val="99"/>
    <w:pPr>
      <w:ind w:firstLine="420" w:firstLineChars="200"/>
    </w:pPr>
    <w:rPr>
      <w:rFonts w:ascii="Calibri" w:hAnsi="Calibri" w:eastAsia="宋体" w:cs="Calibri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8</Pages>
  <Words>2074</Words>
  <Characters>11825</Characters>
  <Lines>98</Lines>
  <Paragraphs>27</Paragraphs>
  <TotalTime>10</TotalTime>
  <ScaleCrop>false</ScaleCrop>
  <LinksUpToDate>false</LinksUpToDate>
  <CharactersWithSpaces>13872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2020-08-18T09:04:00Z</dcterms:created>
  <dc:creator>微软用户</dc:creator>
  <cp:lastModifiedBy>dell</cp:lastModifiedBy>
  <cp:lastPrinted>2026-02-11T14:47:00Z</cp:lastPrinted>
  <dcterms:modified xsi:type="dcterms:W3CDTF">2026-03-12T03:31:39Z</dcterms:modified>
  <cp:revision>418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ICV">
    <vt:lpwstr>9AF0FA48423D00B3B9817169CBEBB6FD_42</vt:lpwstr>
  </property>
</Properties>
</file>